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D2" w:rsidRPr="002211A8" w:rsidRDefault="00A50AD2" w:rsidP="00826D90">
      <w:pPr>
        <w:pStyle w:val="Heading1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2211A8">
        <w:rPr>
          <w:rFonts w:asciiTheme="minorHAnsi" w:hAnsiTheme="minorHAnsi"/>
          <w:b/>
          <w:color w:val="auto"/>
          <w:sz w:val="22"/>
          <w:szCs w:val="22"/>
        </w:rPr>
        <w:t>Sample Criteria for Identifying Bold Goals for the Office of Health Equity and the Advisory Committee – For Discussion</w:t>
      </w:r>
    </w:p>
    <w:p w:rsidR="00A50AD2" w:rsidRDefault="00A50AD2" w:rsidP="002211A8">
      <w:pPr>
        <w:spacing w:before="240"/>
      </w:pPr>
      <w:r w:rsidRPr="00A50AD2">
        <w:t xml:space="preserve">In order to identify </w:t>
      </w:r>
      <w:r w:rsidR="00387A70">
        <w:t xml:space="preserve">three to five </w:t>
      </w:r>
      <w:r w:rsidRPr="00A50AD2">
        <w:t xml:space="preserve">bold goals for the California Department of Public Health Office of Health Equity and </w:t>
      </w:r>
      <w:r w:rsidR="00A32673">
        <w:t>its</w:t>
      </w:r>
      <w:r w:rsidRPr="00A50AD2">
        <w:t xml:space="preserve"> Advisory Committee, criteria for what constitutes bold (audacious) goals could be explored. Below are some sample criteria for discussion</w:t>
      </w:r>
      <w:r w:rsidR="00C26823">
        <w:t xml:space="preserve"> by </w:t>
      </w:r>
      <w:r w:rsidR="00A32673">
        <w:t>the Advisory Committee and its Sustainability</w:t>
      </w:r>
      <w:r w:rsidR="00C26823">
        <w:t xml:space="preserve"> Sub-Committee</w:t>
      </w:r>
      <w:r w:rsidRPr="00A50AD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ample Criteria Table"/>
        <w:tblDescription w:val="Table outlining criteria for what constitutes bold goals for Advisory Committee review."/>
      </w:tblPr>
      <w:tblGrid>
        <w:gridCol w:w="495"/>
        <w:gridCol w:w="4900"/>
        <w:gridCol w:w="3955"/>
      </w:tblGrid>
      <w:tr w:rsidR="00A50AD2" w:rsidTr="002211A8">
        <w:trPr>
          <w:tblHeader/>
        </w:trPr>
        <w:tc>
          <w:tcPr>
            <w:tcW w:w="495" w:type="dxa"/>
            <w:shd w:val="clear" w:color="auto" w:fill="D9D9D9" w:themeFill="background1" w:themeFillShade="D9"/>
          </w:tcPr>
          <w:p w:rsidR="00A50AD2" w:rsidRPr="00A50AD2" w:rsidRDefault="00A50AD2" w:rsidP="00A50AD2">
            <w:pPr>
              <w:rPr>
                <w:b/>
              </w:rPr>
            </w:pPr>
            <w:bookmarkStart w:id="0" w:name="_GoBack"/>
            <w:r w:rsidRPr="00A50AD2">
              <w:rPr>
                <w:b/>
              </w:rPr>
              <w:t>#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:rsidR="00A50AD2" w:rsidRPr="00A50AD2" w:rsidRDefault="00A50AD2" w:rsidP="00A50AD2">
            <w:pPr>
              <w:rPr>
                <w:b/>
              </w:rPr>
            </w:pPr>
            <w:r w:rsidRPr="00A50AD2">
              <w:rPr>
                <w:b/>
              </w:rPr>
              <w:t xml:space="preserve">Sample Criteria 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:rsidR="00A50AD2" w:rsidRPr="00A50AD2" w:rsidRDefault="00A50AD2" w:rsidP="00A50AD2">
            <w:pPr>
              <w:rPr>
                <w:b/>
              </w:rPr>
            </w:pPr>
            <w:r w:rsidRPr="00A50AD2">
              <w:rPr>
                <w:b/>
              </w:rPr>
              <w:t>Notes</w:t>
            </w:r>
          </w:p>
        </w:tc>
      </w:tr>
      <w:bookmarkEnd w:id="0"/>
      <w:tr w:rsidR="00A50AD2" w:rsidTr="0025027D">
        <w:tc>
          <w:tcPr>
            <w:tcW w:w="495" w:type="dxa"/>
          </w:tcPr>
          <w:p w:rsidR="00A50AD2" w:rsidRDefault="00A50AD2" w:rsidP="00A50AD2">
            <w:r>
              <w:t>1.</w:t>
            </w:r>
          </w:p>
        </w:tc>
        <w:tc>
          <w:tcPr>
            <w:tcW w:w="4900" w:type="dxa"/>
          </w:tcPr>
          <w:p w:rsidR="00A50AD2" w:rsidRDefault="00A50AD2" w:rsidP="00A50AD2">
            <w:r>
              <w:t>Be consistent with, align to</w:t>
            </w:r>
            <w:r w:rsidR="004D6082">
              <w:t>,</w:t>
            </w:r>
            <w:r>
              <w:t xml:space="preserve"> or be taken directly from </w:t>
            </w:r>
            <w:r w:rsidRPr="006210F7">
              <w:rPr>
                <w:b/>
              </w:rPr>
              <w:t>Portrait of Promise</w:t>
            </w:r>
            <w:r w:rsidR="00A32673">
              <w:rPr>
                <w:b/>
              </w:rPr>
              <w:t>: The California Statewide Plan to Promote Health and Mental Health Equity</w:t>
            </w:r>
            <w:r w:rsidR="00B37ECF">
              <w:rPr>
                <w:b/>
              </w:rPr>
              <w:t>.</w:t>
            </w:r>
          </w:p>
        </w:tc>
        <w:tc>
          <w:tcPr>
            <w:tcW w:w="3955" w:type="dxa"/>
          </w:tcPr>
          <w:p w:rsidR="00A50AD2" w:rsidRDefault="00A50AD2" w:rsidP="00A50AD2">
            <w:r>
              <w:t>For example, the opening line in the executive summary of Portrait of Promise is “Almost one in four children in California lives in poverty</w:t>
            </w:r>
            <w:r w:rsidR="00EC3B09">
              <w:t>”;</w:t>
            </w:r>
            <w:r>
              <w:t xml:space="preserve"> Rationale: Lots of issues are identified in the Portrait of Promise. We do not have to look far to identify key</w:t>
            </w:r>
            <w:r w:rsidR="00EC3B09">
              <w:t xml:space="preserve"> issues in need of championing</w:t>
            </w:r>
            <w:r w:rsidR="00B37ECF">
              <w:t>.</w:t>
            </w:r>
          </w:p>
        </w:tc>
      </w:tr>
      <w:tr w:rsidR="00A50AD2" w:rsidTr="0025027D">
        <w:tc>
          <w:tcPr>
            <w:tcW w:w="495" w:type="dxa"/>
          </w:tcPr>
          <w:p w:rsidR="00A50AD2" w:rsidRDefault="00A50AD2" w:rsidP="00A50AD2">
            <w:r>
              <w:t>2.</w:t>
            </w:r>
          </w:p>
        </w:tc>
        <w:tc>
          <w:tcPr>
            <w:tcW w:w="4900" w:type="dxa"/>
          </w:tcPr>
          <w:p w:rsidR="00A50AD2" w:rsidRDefault="00A50AD2" w:rsidP="00EC3B09">
            <w:r>
              <w:t xml:space="preserve">Be </w:t>
            </w:r>
            <w:r w:rsidRPr="00C26823">
              <w:rPr>
                <w:b/>
              </w:rPr>
              <w:t>bold</w:t>
            </w:r>
            <w:r>
              <w:t xml:space="preserve"> a</w:t>
            </w:r>
            <w:r w:rsidR="001F61C7">
              <w:t>n</w:t>
            </w:r>
            <w:r>
              <w:t>d audacious</w:t>
            </w:r>
            <w:r w:rsidR="00B37ECF">
              <w:t>.</w:t>
            </w:r>
          </w:p>
        </w:tc>
        <w:tc>
          <w:tcPr>
            <w:tcW w:w="3955" w:type="dxa"/>
          </w:tcPr>
          <w:p w:rsidR="00A50AD2" w:rsidRDefault="00EC3B09" w:rsidP="00A50AD2">
            <w:r>
              <w:t xml:space="preserve">Be something legacy in nature, seminal, a significant turning point e.g., </w:t>
            </w:r>
            <w:r w:rsidR="004D6082">
              <w:t xml:space="preserve">California </w:t>
            </w:r>
            <w:r>
              <w:t>Agenda for African American Health and Mental Health</w:t>
            </w:r>
            <w:r w:rsidR="0025027D">
              <w:t>; CA to strive to uphold the Convention on the Rights of the Child or key articles of the Convention e.g.</w:t>
            </w:r>
            <w:r w:rsidR="00A32673">
              <w:t>,</w:t>
            </w:r>
            <w:r w:rsidR="0025027D">
              <w:t xml:space="preserve"> article 28 on education or article 27 e.g., nutrition, clothing</w:t>
            </w:r>
            <w:r w:rsidR="00A32673">
              <w:t>,</w:t>
            </w:r>
            <w:r w:rsidR="0025027D">
              <w:t xml:space="preserve"> housing</w:t>
            </w:r>
            <w:r w:rsidR="00B37ECF">
              <w:t>.</w:t>
            </w:r>
          </w:p>
        </w:tc>
      </w:tr>
      <w:tr w:rsidR="00A50AD2" w:rsidTr="0025027D">
        <w:tc>
          <w:tcPr>
            <w:tcW w:w="495" w:type="dxa"/>
          </w:tcPr>
          <w:p w:rsidR="00A50AD2" w:rsidRDefault="00A50AD2" w:rsidP="00A50AD2">
            <w:r>
              <w:t xml:space="preserve">3. </w:t>
            </w:r>
          </w:p>
        </w:tc>
        <w:tc>
          <w:tcPr>
            <w:tcW w:w="4900" w:type="dxa"/>
          </w:tcPr>
          <w:p w:rsidR="00A50AD2" w:rsidRDefault="00A50AD2" w:rsidP="00251FB2">
            <w:r>
              <w:t xml:space="preserve">Elevates California on an issue so the rest of the country can look to the state as a </w:t>
            </w:r>
            <w:r w:rsidRPr="00C26823">
              <w:rPr>
                <w:b/>
              </w:rPr>
              <w:t>beacon</w:t>
            </w:r>
            <w:r>
              <w:t>/example</w:t>
            </w:r>
            <w:r w:rsidR="00B37ECF">
              <w:t>.</w:t>
            </w:r>
            <w:r>
              <w:t xml:space="preserve"> </w:t>
            </w:r>
          </w:p>
        </w:tc>
        <w:tc>
          <w:tcPr>
            <w:tcW w:w="3955" w:type="dxa"/>
          </w:tcPr>
          <w:p w:rsidR="00A50AD2" w:rsidRDefault="00251FB2" w:rsidP="00F6371C">
            <w:r>
              <w:t xml:space="preserve">Similar to California’s position on </w:t>
            </w:r>
            <w:r w:rsidR="00EC3B09" w:rsidRPr="00042519">
              <w:rPr>
                <w:b/>
              </w:rPr>
              <w:t>Climate C</w:t>
            </w:r>
            <w:r w:rsidRPr="00042519">
              <w:rPr>
                <w:b/>
              </w:rPr>
              <w:t>hange</w:t>
            </w:r>
            <w:r w:rsidR="00EC3B09">
              <w:t xml:space="preserve">; e.g., LGBTQ2 protections, shelter for </w:t>
            </w:r>
            <w:r w:rsidR="0025027D">
              <w:t>children</w:t>
            </w:r>
            <w:r w:rsidR="00EC3B09">
              <w:t>, or offer an alternative to the pipeline (alternative to incarceration nation)</w:t>
            </w:r>
            <w:r w:rsidR="0055331F">
              <w:t>, CA Values (warm and welcoming</w:t>
            </w:r>
            <w:r w:rsidR="006210F7">
              <w:t>, tech engine, future oriented</w:t>
            </w:r>
            <w:r w:rsidR="0055331F">
              <w:t>)</w:t>
            </w:r>
            <w:r w:rsidR="00F6371C">
              <w:t>; gives hope and example to rest of the country</w:t>
            </w:r>
            <w:r w:rsidR="00B37ECF">
              <w:t>.</w:t>
            </w:r>
          </w:p>
        </w:tc>
      </w:tr>
      <w:tr w:rsidR="00A50AD2" w:rsidTr="0025027D">
        <w:tc>
          <w:tcPr>
            <w:tcW w:w="495" w:type="dxa"/>
          </w:tcPr>
          <w:p w:rsidR="00A50AD2" w:rsidRDefault="00042519" w:rsidP="00A50AD2">
            <w:r>
              <w:t>4</w:t>
            </w:r>
            <w:r w:rsidR="008D2D78">
              <w:t>.</w:t>
            </w:r>
          </w:p>
        </w:tc>
        <w:tc>
          <w:tcPr>
            <w:tcW w:w="4900" w:type="dxa"/>
          </w:tcPr>
          <w:p w:rsidR="00A50AD2" w:rsidRDefault="008D2D78" w:rsidP="00A50AD2">
            <w:r>
              <w:t xml:space="preserve">Be </w:t>
            </w:r>
            <w:r w:rsidRPr="00C26823">
              <w:rPr>
                <w:b/>
              </w:rPr>
              <w:t>concrete</w:t>
            </w:r>
            <w:r>
              <w:t xml:space="preserve"> and/or </w:t>
            </w:r>
            <w:r w:rsidRPr="00C26823">
              <w:rPr>
                <w:b/>
              </w:rPr>
              <w:t>discrete</w:t>
            </w:r>
            <w:r>
              <w:t xml:space="preserve"> </w:t>
            </w:r>
            <w:r w:rsidR="00587386">
              <w:t xml:space="preserve">(specific) </w:t>
            </w:r>
            <w:r>
              <w:t xml:space="preserve">and simple in its </w:t>
            </w:r>
            <w:r w:rsidR="00042519">
              <w:t xml:space="preserve">language and </w:t>
            </w:r>
            <w:r>
              <w:t xml:space="preserve">description such that lay people </w:t>
            </w:r>
            <w:r w:rsidR="00042519">
              <w:t xml:space="preserve">instantly </w:t>
            </w:r>
            <w:r>
              <w:t>understand it and can get behind it as well as experts</w:t>
            </w:r>
            <w:r w:rsidR="001F61C7">
              <w:t>; renders something tangible</w:t>
            </w:r>
            <w:r w:rsidR="0055331F">
              <w:t xml:space="preserve"> when spoken e.g., the proverbial “chicken in every pot</w:t>
            </w:r>
            <w:r w:rsidR="00B37ECF">
              <w:t>.</w:t>
            </w:r>
            <w:r w:rsidR="0055331F">
              <w:t>”</w:t>
            </w:r>
          </w:p>
        </w:tc>
        <w:tc>
          <w:tcPr>
            <w:tcW w:w="3955" w:type="dxa"/>
          </w:tcPr>
          <w:p w:rsidR="00B37ECF" w:rsidRDefault="00C13B13" w:rsidP="002211A8">
            <w:r>
              <w:t>For example</w:t>
            </w:r>
            <w:r w:rsidR="0055331F">
              <w:t>,</w:t>
            </w:r>
            <w:r>
              <w:t xml:space="preserve"> </w:t>
            </w:r>
            <w:r w:rsidR="0055331F">
              <w:t xml:space="preserve">“Zero homeless children. (2020 - )”, From “a chicken in every pot and a car in every garage” (1928) to “Vegetables in every pot and charging stations a plenty (2020) or a bike on every porch, or transit passes in every pocket”, </w:t>
            </w:r>
            <w:r w:rsidR="006210F7" w:rsidRPr="006210F7">
              <w:rPr>
                <w:b/>
              </w:rPr>
              <w:t>“Every child with vegetables in the</w:t>
            </w:r>
            <w:r w:rsidR="00042519">
              <w:rPr>
                <w:b/>
              </w:rPr>
              <w:t xml:space="preserve">ir </w:t>
            </w:r>
            <w:r w:rsidR="006210F7" w:rsidRPr="006210F7">
              <w:rPr>
                <w:b/>
              </w:rPr>
              <w:t>belly, a bike on their porch, and a diploma in their hand”</w:t>
            </w:r>
            <w:r w:rsidR="006210F7" w:rsidRPr="006210F7">
              <w:t>,</w:t>
            </w:r>
            <w:r w:rsidR="006210F7">
              <w:t xml:space="preserve"> </w:t>
            </w:r>
            <w:r>
              <w:t>“No child sleeps on the street</w:t>
            </w:r>
            <w:r w:rsidR="00A32673">
              <w:t>”</w:t>
            </w:r>
            <w:r>
              <w:t xml:space="preserve"> or “All children sheltered” “No empty plates</w:t>
            </w:r>
            <w:r w:rsidR="0055331F">
              <w:t xml:space="preserve">”, </w:t>
            </w:r>
            <w:r w:rsidR="001F61C7">
              <w:t xml:space="preserve">“End </w:t>
            </w:r>
            <w:r w:rsidR="00587386">
              <w:t xml:space="preserve">of </w:t>
            </w:r>
            <w:r w:rsidR="0055331F">
              <w:t xml:space="preserve">child </w:t>
            </w:r>
            <w:r w:rsidR="001F61C7">
              <w:t>food insecurity”</w:t>
            </w:r>
            <w:r w:rsidR="00EC3B09">
              <w:t>, “Crime-free neighborhoods”, “Family Zones”</w:t>
            </w:r>
            <w:r w:rsidR="00587386">
              <w:t>, other ideas (TBD</w:t>
            </w:r>
            <w:r w:rsidR="00042519">
              <w:t xml:space="preserve"> – for discussion</w:t>
            </w:r>
            <w:r w:rsidR="00587386">
              <w:t>)</w:t>
            </w:r>
            <w:r w:rsidR="00B37ECF">
              <w:t>.</w:t>
            </w:r>
          </w:p>
        </w:tc>
      </w:tr>
      <w:tr w:rsidR="00042519" w:rsidTr="0025027D">
        <w:tc>
          <w:tcPr>
            <w:tcW w:w="495" w:type="dxa"/>
          </w:tcPr>
          <w:p w:rsidR="00042519" w:rsidRDefault="00042519" w:rsidP="00042519">
            <w:r>
              <w:lastRenderedPageBreak/>
              <w:t>5.</w:t>
            </w:r>
          </w:p>
        </w:tc>
        <w:tc>
          <w:tcPr>
            <w:tcW w:w="4900" w:type="dxa"/>
          </w:tcPr>
          <w:p w:rsidR="00042519" w:rsidRDefault="00042519" w:rsidP="00042519">
            <w:r>
              <w:t xml:space="preserve">Be backed by </w:t>
            </w:r>
            <w:r w:rsidRPr="00C26823">
              <w:rPr>
                <w:b/>
              </w:rPr>
              <w:t>inarguable principles</w:t>
            </w:r>
            <w:r>
              <w:t xml:space="preserve"> and truths (right and wrong, justice, human rights, establishes a line in the sand or a standard under which we agree never to go again; minimum standards for basic dignity, safety or protection of some kind)</w:t>
            </w:r>
            <w:r w:rsidR="00B37ECF">
              <w:t>.</w:t>
            </w:r>
          </w:p>
        </w:tc>
        <w:tc>
          <w:tcPr>
            <w:tcW w:w="3955" w:type="dxa"/>
          </w:tcPr>
          <w:p w:rsidR="00042519" w:rsidRDefault="00042519" w:rsidP="00042519">
            <w:r>
              <w:t>Principles found in international conventions and declarations e.g., Convention on the Rights of the Child, Elimination of Racial Discrimination, Declaration of Human Rights</w:t>
            </w:r>
            <w:r w:rsidR="00B37ECF">
              <w:t>.</w:t>
            </w:r>
            <w:r>
              <w:t xml:space="preserve"> </w:t>
            </w:r>
          </w:p>
        </w:tc>
      </w:tr>
      <w:tr w:rsidR="00042519" w:rsidTr="0025027D">
        <w:tc>
          <w:tcPr>
            <w:tcW w:w="495" w:type="dxa"/>
          </w:tcPr>
          <w:p w:rsidR="00042519" w:rsidRDefault="00042519" w:rsidP="00042519">
            <w:r>
              <w:t>6.</w:t>
            </w:r>
          </w:p>
        </w:tc>
        <w:tc>
          <w:tcPr>
            <w:tcW w:w="4900" w:type="dxa"/>
          </w:tcPr>
          <w:p w:rsidR="00042519" w:rsidRDefault="00042519" w:rsidP="00042519">
            <w:r>
              <w:t xml:space="preserve">Be something that only OHE – AC is </w:t>
            </w:r>
            <w:r w:rsidRPr="001F61C7">
              <w:rPr>
                <w:b/>
                <w:i/>
              </w:rPr>
              <w:t xml:space="preserve">uniquely </w:t>
            </w:r>
            <w:r w:rsidRPr="00C26823">
              <w:rPr>
                <w:b/>
              </w:rPr>
              <w:t>positioned</w:t>
            </w:r>
            <w:r>
              <w:t xml:space="preserve"> to champion; will not or cannot be done by anyone else; be non-duplicative of another committee mandate, department or organization; establishes OHE indispensability and sustainability</w:t>
            </w:r>
            <w:r w:rsidR="00B37ECF">
              <w:t>.</w:t>
            </w:r>
          </w:p>
        </w:tc>
        <w:tc>
          <w:tcPr>
            <w:tcW w:w="3955" w:type="dxa"/>
          </w:tcPr>
          <w:p w:rsidR="00042519" w:rsidRDefault="00042519" w:rsidP="00042519">
            <w:r>
              <w:t xml:space="preserve">Office mandate is to </w:t>
            </w:r>
            <w:r w:rsidRPr="00587386">
              <w:rPr>
                <w:b/>
                <w:u w:val="single"/>
              </w:rPr>
              <w:t>align</w:t>
            </w:r>
            <w:r w:rsidRPr="00587386">
              <w:rPr>
                <w:b/>
              </w:rPr>
              <w:t xml:space="preserve"> </w:t>
            </w:r>
            <w:r>
              <w:t xml:space="preserve">state resources, decision making and programs to achieve the highest level of health…with </w:t>
            </w:r>
            <w:r w:rsidRPr="00C26823">
              <w:rPr>
                <w:b/>
              </w:rPr>
              <w:t>special attention</w:t>
            </w:r>
            <w:r>
              <w:t xml:space="preserve"> on those who have experienced socio-economic </w:t>
            </w:r>
            <w:r w:rsidRPr="00C26823">
              <w:rPr>
                <w:b/>
              </w:rPr>
              <w:t>disadvantages</w:t>
            </w:r>
            <w:r>
              <w:t xml:space="preserve"> and historical </w:t>
            </w:r>
            <w:r w:rsidRPr="00C26823">
              <w:rPr>
                <w:b/>
              </w:rPr>
              <w:t>injustice</w:t>
            </w:r>
            <w:r w:rsidR="00B37ECF">
              <w:rPr>
                <w:b/>
              </w:rPr>
              <w:t>.</w:t>
            </w:r>
          </w:p>
        </w:tc>
      </w:tr>
      <w:tr w:rsidR="00042519" w:rsidTr="0025027D">
        <w:tc>
          <w:tcPr>
            <w:tcW w:w="495" w:type="dxa"/>
          </w:tcPr>
          <w:p w:rsidR="00042519" w:rsidRDefault="00042519" w:rsidP="00042519">
            <w:r>
              <w:t>7.</w:t>
            </w:r>
          </w:p>
        </w:tc>
        <w:tc>
          <w:tcPr>
            <w:tcW w:w="4900" w:type="dxa"/>
          </w:tcPr>
          <w:p w:rsidR="00042519" w:rsidRDefault="00042519" w:rsidP="00042519">
            <w:r w:rsidRPr="00C26823">
              <w:rPr>
                <w:b/>
              </w:rPr>
              <w:t>Unite</w:t>
            </w:r>
            <w:r>
              <w:t xml:space="preserve"> the state, its people, and its organizations towards a common purpose and mission for now and for the future of the state; rally people to a common cause and common ground; be non-polarizing, have no or limited triggers of politics or positioning e.g., rich</w:t>
            </w:r>
            <w:r w:rsidR="00A32673">
              <w:t>/</w:t>
            </w:r>
            <w:r>
              <w:t>poor, have</w:t>
            </w:r>
            <w:r w:rsidR="00A32673">
              <w:t>/</w:t>
            </w:r>
            <w:r>
              <w:t>have-nots, non-divisive; something everyone can agree on; has to hover above the level of politics; should engender social cohesion</w:t>
            </w:r>
            <w:r w:rsidR="00B37ECF">
              <w:t>.</w:t>
            </w:r>
          </w:p>
        </w:tc>
        <w:tc>
          <w:tcPr>
            <w:tcW w:w="3955" w:type="dxa"/>
          </w:tcPr>
          <w:p w:rsidR="00042519" w:rsidRDefault="00042519" w:rsidP="00042519">
            <w:r>
              <w:t xml:space="preserve">Could be development of a document e.g., “Our Common Purpose” or a Declaration of sorts, e.g., of civil and human rights and civic responsibilities – “California Declaration of Rights and Responsibilities”; something audacious but unifying (clauses that cover non-discrimination, equity, climate change, economic and civic life – see </w:t>
            </w:r>
            <w:hyperlink r:id="rId7" w:history="1">
              <w:r w:rsidRPr="0025027D">
                <w:rPr>
                  <w:rStyle w:val="Hyperlink"/>
                </w:rPr>
                <w:t>Montreal Charter</w:t>
              </w:r>
            </w:hyperlink>
            <w:r>
              <w:t xml:space="preserve"> of Rights and Responsibilities); describing how we are going to unify and succeed including respond to and/or adapt to climate change which includes protection of the most vulnerable, environmental and sustainable development and economic prosperity, innovation and technology</w:t>
            </w:r>
            <w:r w:rsidR="00B37ECF">
              <w:t>.</w:t>
            </w:r>
          </w:p>
        </w:tc>
      </w:tr>
      <w:tr w:rsidR="00A50AD2" w:rsidTr="0025027D">
        <w:tc>
          <w:tcPr>
            <w:tcW w:w="495" w:type="dxa"/>
          </w:tcPr>
          <w:p w:rsidR="00A50AD2" w:rsidRDefault="008D2D78" w:rsidP="00A50AD2">
            <w:r>
              <w:t>8.</w:t>
            </w:r>
          </w:p>
        </w:tc>
        <w:tc>
          <w:tcPr>
            <w:tcW w:w="4900" w:type="dxa"/>
          </w:tcPr>
          <w:p w:rsidR="00A50AD2" w:rsidRDefault="008D2D78" w:rsidP="001F61C7">
            <w:r>
              <w:t xml:space="preserve">Align to the </w:t>
            </w:r>
            <w:r w:rsidRPr="00C26823">
              <w:rPr>
                <w:b/>
              </w:rPr>
              <w:t>Governor’s priorities and values</w:t>
            </w:r>
            <w:r>
              <w:t xml:space="preserve"> </w:t>
            </w:r>
            <w:r w:rsidR="00EC3B09">
              <w:t>and those of CDPH</w:t>
            </w:r>
            <w:r w:rsidR="00B37ECF">
              <w:t>.</w:t>
            </w:r>
          </w:p>
        </w:tc>
        <w:tc>
          <w:tcPr>
            <w:tcW w:w="3955" w:type="dxa"/>
          </w:tcPr>
          <w:p w:rsidR="00A50AD2" w:rsidRDefault="001F61C7" w:rsidP="00A50AD2">
            <w:r>
              <w:t>For example, civil rights, education (from Governor’s web site)</w:t>
            </w:r>
            <w:r w:rsidR="00587386">
              <w:t>; consider priorities of counties and other state departments; look for alignment and momentum; funding and existing will; leverage things in motion/momentum</w:t>
            </w:r>
            <w:r w:rsidR="00F6371C">
              <w:t>; consider link to climate change</w:t>
            </w:r>
            <w:r w:rsidR="00B37ECF">
              <w:t>.</w:t>
            </w:r>
          </w:p>
        </w:tc>
      </w:tr>
      <w:tr w:rsidR="00A50AD2" w:rsidTr="0025027D">
        <w:tc>
          <w:tcPr>
            <w:tcW w:w="495" w:type="dxa"/>
          </w:tcPr>
          <w:p w:rsidR="00A50AD2" w:rsidRDefault="00F6371C" w:rsidP="00A50AD2">
            <w:r>
              <w:t>9.</w:t>
            </w:r>
          </w:p>
        </w:tc>
        <w:tc>
          <w:tcPr>
            <w:tcW w:w="4900" w:type="dxa"/>
          </w:tcPr>
          <w:p w:rsidR="00A50AD2" w:rsidRDefault="00251FB2" w:rsidP="001F61C7">
            <w:r>
              <w:t>Give</w:t>
            </w:r>
            <w:r w:rsidR="00587386">
              <w:t>s</w:t>
            </w:r>
            <w:r>
              <w:t xml:space="preserve"> voice to the </w:t>
            </w:r>
            <w:r w:rsidRPr="00C26823">
              <w:rPr>
                <w:b/>
              </w:rPr>
              <w:t>voiceless</w:t>
            </w:r>
            <w:r w:rsidR="00C26823">
              <w:rPr>
                <w:b/>
              </w:rPr>
              <w:t xml:space="preserve"> </w:t>
            </w:r>
            <w:r w:rsidR="00C26823" w:rsidRPr="00C26823">
              <w:t>and most vulnerable</w:t>
            </w:r>
            <w:r w:rsidRPr="00C26823">
              <w:t>;</w:t>
            </w:r>
            <w:r>
              <w:t xml:space="preserve"> stands up for people who may not be </w:t>
            </w:r>
            <w:r w:rsidR="00B37ECF">
              <w:t>able to stand up for themselves.</w:t>
            </w:r>
          </w:p>
        </w:tc>
        <w:tc>
          <w:tcPr>
            <w:tcW w:w="3955" w:type="dxa"/>
          </w:tcPr>
          <w:p w:rsidR="00A50AD2" w:rsidRDefault="001F61C7" w:rsidP="001F61C7">
            <w:r>
              <w:t>For example, children, elderly, disabled</w:t>
            </w:r>
            <w:r w:rsidR="00587386">
              <w:t>; who is at a disadvantage due to age, R/E, gender, sexual orientation</w:t>
            </w:r>
            <w:r w:rsidR="00B37ECF">
              <w:t>.</w:t>
            </w:r>
          </w:p>
        </w:tc>
      </w:tr>
      <w:tr w:rsidR="00A50AD2" w:rsidTr="0025027D">
        <w:tc>
          <w:tcPr>
            <w:tcW w:w="495" w:type="dxa"/>
          </w:tcPr>
          <w:p w:rsidR="00A50AD2" w:rsidRDefault="00F6371C" w:rsidP="00A50AD2">
            <w:r>
              <w:t>10</w:t>
            </w:r>
            <w:r w:rsidR="008D2D78">
              <w:t>.</w:t>
            </w:r>
          </w:p>
        </w:tc>
        <w:tc>
          <w:tcPr>
            <w:tcW w:w="4900" w:type="dxa"/>
          </w:tcPr>
          <w:p w:rsidR="00A50AD2" w:rsidRDefault="00251FB2" w:rsidP="000D4109">
            <w:r w:rsidRPr="00C26823">
              <w:rPr>
                <w:b/>
              </w:rPr>
              <w:t>Inspire</w:t>
            </w:r>
            <w:r>
              <w:t xml:space="preserve"> people</w:t>
            </w:r>
            <w:r w:rsidR="00C26823">
              <w:t>; bring out th</w:t>
            </w:r>
            <w:r w:rsidR="000D4109">
              <w:t>e best in people; elevate; lift</w:t>
            </w:r>
            <w:r w:rsidR="00C26823">
              <w:t xml:space="preserve">; </w:t>
            </w:r>
            <w:r w:rsidR="000D4109">
              <w:t xml:space="preserve">something </w:t>
            </w:r>
            <w:r w:rsidR="00C26823">
              <w:t>visionary</w:t>
            </w:r>
            <w:r w:rsidR="00B37ECF">
              <w:t>.</w:t>
            </w:r>
            <w:r w:rsidR="00C26823">
              <w:t xml:space="preserve"> </w:t>
            </w:r>
          </w:p>
        </w:tc>
        <w:tc>
          <w:tcPr>
            <w:tcW w:w="3955" w:type="dxa"/>
          </w:tcPr>
          <w:p w:rsidR="00A50AD2" w:rsidRDefault="00A50AD2" w:rsidP="00A50AD2"/>
        </w:tc>
      </w:tr>
      <w:tr w:rsidR="00A50AD2" w:rsidTr="0025027D">
        <w:tc>
          <w:tcPr>
            <w:tcW w:w="495" w:type="dxa"/>
          </w:tcPr>
          <w:p w:rsidR="00A50AD2" w:rsidRDefault="00F6371C" w:rsidP="00A50AD2">
            <w:r>
              <w:t>11</w:t>
            </w:r>
            <w:r w:rsidR="00251FB2">
              <w:t>.</w:t>
            </w:r>
          </w:p>
        </w:tc>
        <w:tc>
          <w:tcPr>
            <w:tcW w:w="4900" w:type="dxa"/>
          </w:tcPr>
          <w:p w:rsidR="00A50AD2" w:rsidRDefault="00251FB2" w:rsidP="001F61C7">
            <w:r>
              <w:t xml:space="preserve">Be something that has a significant </w:t>
            </w:r>
            <w:r w:rsidRPr="00C26823">
              <w:rPr>
                <w:b/>
              </w:rPr>
              <w:t>impact</w:t>
            </w:r>
            <w:r w:rsidR="00B37ECF">
              <w:t xml:space="preserve"> on Public Health in CA.</w:t>
            </w:r>
          </w:p>
        </w:tc>
        <w:tc>
          <w:tcPr>
            <w:tcW w:w="3955" w:type="dxa"/>
          </w:tcPr>
          <w:p w:rsidR="00A50AD2" w:rsidRDefault="001F61C7" w:rsidP="00F6371C">
            <w:r>
              <w:t xml:space="preserve">Impact with </w:t>
            </w:r>
            <w:r w:rsidRPr="001F61C7">
              <w:t xml:space="preserve">short, </w:t>
            </w:r>
            <w:r>
              <w:t>medium long term considerations</w:t>
            </w:r>
            <w:r w:rsidRPr="001F61C7">
              <w:t xml:space="preserve">; considers not just Band-Aids and repeated cycles but upstream, prevention, something that has an </w:t>
            </w:r>
            <w:r w:rsidRPr="006210F7">
              <w:rPr>
                <w:b/>
              </w:rPr>
              <w:t>interrupting force</w:t>
            </w:r>
            <w:r w:rsidRPr="001F61C7">
              <w:t xml:space="preserve"> to break up cycles (cycles of poverty, cycles of violence, </w:t>
            </w:r>
            <w:r w:rsidRPr="001F61C7">
              <w:lastRenderedPageBreak/>
              <w:t>cycles of trauma and poor health outcomes)</w:t>
            </w:r>
            <w:r w:rsidR="006210F7">
              <w:t xml:space="preserve">; investing in kids is investing in the future; there were </w:t>
            </w:r>
            <w:r w:rsidR="00F6371C">
              <w:t>almost 10 million</w:t>
            </w:r>
            <w:r w:rsidR="006210F7">
              <w:t xml:space="preserve"> children in CA (2016)</w:t>
            </w:r>
            <w:r w:rsidR="00042519">
              <w:t xml:space="preserve"> and 74% were children of color – by focusing on children we are addressing socio-economic disadvantage and historical injustice</w:t>
            </w:r>
            <w:r w:rsidR="00F6371C">
              <w:t>; and helping children helps parents; it also prevents future public health issues (e.g., ACES); the majority of 4</w:t>
            </w:r>
            <w:r w:rsidR="00F6371C" w:rsidRPr="00F6371C">
              <w:rPr>
                <w:vertAlign w:val="superscript"/>
              </w:rPr>
              <w:t>th</w:t>
            </w:r>
            <w:r w:rsidR="00F6371C">
              <w:t xml:space="preserve"> grade public school students could not read at grade level in 2015 – need to turn this around and get ‘diplomas in hands</w:t>
            </w:r>
            <w:r w:rsidR="00B37ECF">
              <w:t>.</w:t>
            </w:r>
            <w:r w:rsidR="00F6371C">
              <w:t>’</w:t>
            </w:r>
          </w:p>
        </w:tc>
      </w:tr>
      <w:tr w:rsidR="00A50AD2" w:rsidTr="0025027D">
        <w:tc>
          <w:tcPr>
            <w:tcW w:w="495" w:type="dxa"/>
          </w:tcPr>
          <w:p w:rsidR="00A50AD2" w:rsidRDefault="00F6371C" w:rsidP="00A50AD2">
            <w:r>
              <w:lastRenderedPageBreak/>
              <w:t>12.</w:t>
            </w:r>
          </w:p>
        </w:tc>
        <w:tc>
          <w:tcPr>
            <w:tcW w:w="4900" w:type="dxa"/>
          </w:tcPr>
          <w:p w:rsidR="00A50AD2" w:rsidRDefault="00251FB2" w:rsidP="00A50AD2">
            <w:r>
              <w:t xml:space="preserve">Something with </w:t>
            </w:r>
            <w:r w:rsidRPr="00C26823">
              <w:rPr>
                <w:b/>
              </w:rPr>
              <w:t>secondary benefits</w:t>
            </w:r>
            <w:r>
              <w:t xml:space="preserve"> e.g., that by addressing one, discrete thing, that other things fall into place</w:t>
            </w:r>
            <w:r w:rsidR="00B37ECF">
              <w:t>.</w:t>
            </w:r>
          </w:p>
        </w:tc>
        <w:tc>
          <w:tcPr>
            <w:tcW w:w="3955" w:type="dxa"/>
          </w:tcPr>
          <w:p w:rsidR="00A50AD2" w:rsidRDefault="001F61C7" w:rsidP="00A50AD2">
            <w:r>
              <w:t>Addressing child food insecurity improves education, has co-benefits for family</w:t>
            </w:r>
            <w:r w:rsidR="00B37ECF">
              <w:t>.</w:t>
            </w:r>
          </w:p>
        </w:tc>
      </w:tr>
      <w:tr w:rsidR="00042519" w:rsidTr="0025027D">
        <w:tc>
          <w:tcPr>
            <w:tcW w:w="495" w:type="dxa"/>
          </w:tcPr>
          <w:p w:rsidR="00042519" w:rsidRDefault="00F6371C" w:rsidP="00042519">
            <w:r>
              <w:t>13.</w:t>
            </w:r>
          </w:p>
        </w:tc>
        <w:tc>
          <w:tcPr>
            <w:tcW w:w="4900" w:type="dxa"/>
          </w:tcPr>
          <w:p w:rsidR="00042519" w:rsidRDefault="00042519" w:rsidP="00042519">
            <w:r>
              <w:t xml:space="preserve">Be an issue where there may be some degree of </w:t>
            </w:r>
            <w:r w:rsidRPr="00C26823">
              <w:rPr>
                <w:b/>
              </w:rPr>
              <w:t>momentum</w:t>
            </w:r>
            <w:r>
              <w:t xml:space="preserve"> at this time</w:t>
            </w:r>
            <w:r w:rsidR="00B37ECF">
              <w:t>.</w:t>
            </w:r>
            <w:r>
              <w:t xml:space="preserve"> </w:t>
            </w:r>
          </w:p>
        </w:tc>
        <w:tc>
          <w:tcPr>
            <w:tcW w:w="3955" w:type="dxa"/>
          </w:tcPr>
          <w:p w:rsidR="00042519" w:rsidRDefault="00042519" w:rsidP="00BB0B1E">
            <w:r>
              <w:t xml:space="preserve">For example, issues where stars are aligning, existing press/publicity e.g., “Me Too” campaign re. </w:t>
            </w:r>
            <w:r w:rsidR="00BB0B1E">
              <w:t>exploitation</w:t>
            </w:r>
            <w:r>
              <w:t>, trauma, violence against women and/or children; “healthy relationships”</w:t>
            </w:r>
            <w:r w:rsidR="00B37ECF">
              <w:t xml:space="preserve"> or “healthy boundaries”</w:t>
            </w:r>
            <w:r>
              <w:t xml:space="preserve"> (healthy relationships being the positive fra</w:t>
            </w:r>
            <w:r w:rsidR="00B37ECF">
              <w:t>me to violence prevention</w:t>
            </w:r>
            <w:r>
              <w:t>)</w:t>
            </w:r>
            <w:r w:rsidR="00B37ECF">
              <w:t>.</w:t>
            </w:r>
          </w:p>
        </w:tc>
      </w:tr>
      <w:tr w:rsidR="00C13B13" w:rsidTr="0025027D">
        <w:tc>
          <w:tcPr>
            <w:tcW w:w="495" w:type="dxa"/>
          </w:tcPr>
          <w:p w:rsidR="00C13B13" w:rsidRDefault="00F6371C" w:rsidP="00C13B13">
            <w:r>
              <w:t>14.</w:t>
            </w:r>
          </w:p>
        </w:tc>
        <w:tc>
          <w:tcPr>
            <w:tcW w:w="4900" w:type="dxa"/>
          </w:tcPr>
          <w:p w:rsidR="00C13B13" w:rsidRDefault="00F6371C" w:rsidP="00C13B13">
            <w:r>
              <w:t xml:space="preserve">Have </w:t>
            </w:r>
            <w:r w:rsidRPr="00F6371C">
              <w:rPr>
                <w:b/>
              </w:rPr>
              <w:t xml:space="preserve">targets </w:t>
            </w:r>
            <w:r>
              <w:t>attached to it e.g., by 2025</w:t>
            </w:r>
            <w:r w:rsidR="00B37ECF">
              <w:t>.</w:t>
            </w:r>
          </w:p>
        </w:tc>
        <w:tc>
          <w:tcPr>
            <w:tcW w:w="3955" w:type="dxa"/>
          </w:tcPr>
          <w:p w:rsidR="00C13B13" w:rsidRDefault="00C13B13" w:rsidP="00C13B13"/>
        </w:tc>
      </w:tr>
      <w:tr w:rsidR="00A50AD2" w:rsidTr="0025027D">
        <w:tc>
          <w:tcPr>
            <w:tcW w:w="495" w:type="dxa"/>
          </w:tcPr>
          <w:p w:rsidR="00A50AD2" w:rsidRDefault="00F6371C" w:rsidP="00C26823">
            <w:r>
              <w:t>15.</w:t>
            </w:r>
          </w:p>
        </w:tc>
        <w:tc>
          <w:tcPr>
            <w:tcW w:w="4900" w:type="dxa"/>
          </w:tcPr>
          <w:p w:rsidR="00A50AD2" w:rsidRDefault="00F6371C" w:rsidP="00A50AD2">
            <w:r>
              <w:t xml:space="preserve">Could potentially lead to </w:t>
            </w:r>
            <w:r w:rsidRPr="00F6371C">
              <w:rPr>
                <w:b/>
              </w:rPr>
              <w:t>legislation</w:t>
            </w:r>
            <w:r>
              <w:t xml:space="preserve"> or an executive order so agencies have to respond</w:t>
            </w:r>
            <w:r w:rsidR="00B37ECF">
              <w:t>.</w:t>
            </w:r>
          </w:p>
        </w:tc>
        <w:tc>
          <w:tcPr>
            <w:tcW w:w="3955" w:type="dxa"/>
          </w:tcPr>
          <w:p w:rsidR="00A50AD2" w:rsidRDefault="00A50AD2" w:rsidP="00A50AD2"/>
        </w:tc>
      </w:tr>
      <w:tr w:rsidR="00A50AD2" w:rsidTr="0025027D">
        <w:tc>
          <w:tcPr>
            <w:tcW w:w="495" w:type="dxa"/>
          </w:tcPr>
          <w:p w:rsidR="00A50AD2" w:rsidRDefault="00F6371C" w:rsidP="00A50AD2">
            <w:r>
              <w:t>16.</w:t>
            </w:r>
          </w:p>
        </w:tc>
        <w:tc>
          <w:tcPr>
            <w:tcW w:w="4900" w:type="dxa"/>
          </w:tcPr>
          <w:p w:rsidR="00A50AD2" w:rsidRDefault="00F6371C" w:rsidP="00A50AD2">
            <w:r w:rsidRPr="00F6371C">
              <w:t>Other (TBD) – For Discussion</w:t>
            </w:r>
            <w:r w:rsidR="00B37ECF">
              <w:t>.</w:t>
            </w:r>
          </w:p>
        </w:tc>
        <w:tc>
          <w:tcPr>
            <w:tcW w:w="3955" w:type="dxa"/>
          </w:tcPr>
          <w:p w:rsidR="00A50AD2" w:rsidRDefault="00A50AD2" w:rsidP="00A50AD2"/>
        </w:tc>
      </w:tr>
      <w:tr w:rsidR="00A50AD2" w:rsidTr="0025027D">
        <w:tc>
          <w:tcPr>
            <w:tcW w:w="495" w:type="dxa"/>
          </w:tcPr>
          <w:p w:rsidR="00A50AD2" w:rsidRDefault="00A50AD2" w:rsidP="00A50AD2"/>
        </w:tc>
        <w:tc>
          <w:tcPr>
            <w:tcW w:w="4900" w:type="dxa"/>
          </w:tcPr>
          <w:p w:rsidR="00A50AD2" w:rsidRDefault="00A50AD2" w:rsidP="00A50AD2"/>
        </w:tc>
        <w:tc>
          <w:tcPr>
            <w:tcW w:w="3955" w:type="dxa"/>
          </w:tcPr>
          <w:p w:rsidR="00A50AD2" w:rsidRDefault="00A50AD2" w:rsidP="00A50AD2"/>
        </w:tc>
      </w:tr>
      <w:tr w:rsidR="00A50AD2" w:rsidTr="0025027D">
        <w:tc>
          <w:tcPr>
            <w:tcW w:w="495" w:type="dxa"/>
          </w:tcPr>
          <w:p w:rsidR="00A50AD2" w:rsidRDefault="00A50AD2" w:rsidP="00A50AD2"/>
        </w:tc>
        <w:tc>
          <w:tcPr>
            <w:tcW w:w="4900" w:type="dxa"/>
          </w:tcPr>
          <w:p w:rsidR="00A50AD2" w:rsidRDefault="00A50AD2" w:rsidP="00A50AD2"/>
        </w:tc>
        <w:tc>
          <w:tcPr>
            <w:tcW w:w="3955" w:type="dxa"/>
          </w:tcPr>
          <w:p w:rsidR="00A50AD2" w:rsidRDefault="00A50AD2" w:rsidP="00A50AD2"/>
        </w:tc>
      </w:tr>
      <w:tr w:rsidR="00A50AD2" w:rsidTr="0025027D">
        <w:tc>
          <w:tcPr>
            <w:tcW w:w="495" w:type="dxa"/>
          </w:tcPr>
          <w:p w:rsidR="00A50AD2" w:rsidRDefault="00A50AD2" w:rsidP="00A50AD2"/>
        </w:tc>
        <w:tc>
          <w:tcPr>
            <w:tcW w:w="4900" w:type="dxa"/>
          </w:tcPr>
          <w:p w:rsidR="00A50AD2" w:rsidRDefault="00A50AD2" w:rsidP="00A50AD2"/>
        </w:tc>
        <w:tc>
          <w:tcPr>
            <w:tcW w:w="3955" w:type="dxa"/>
          </w:tcPr>
          <w:p w:rsidR="00A50AD2" w:rsidRDefault="00A50AD2" w:rsidP="00A50AD2"/>
        </w:tc>
      </w:tr>
      <w:tr w:rsidR="00A50AD2" w:rsidTr="0025027D">
        <w:tc>
          <w:tcPr>
            <w:tcW w:w="495" w:type="dxa"/>
          </w:tcPr>
          <w:p w:rsidR="00A50AD2" w:rsidRDefault="00A50AD2" w:rsidP="00A50AD2"/>
        </w:tc>
        <w:tc>
          <w:tcPr>
            <w:tcW w:w="4900" w:type="dxa"/>
          </w:tcPr>
          <w:p w:rsidR="00A50AD2" w:rsidRDefault="00A50AD2" w:rsidP="00A50AD2"/>
        </w:tc>
        <w:tc>
          <w:tcPr>
            <w:tcW w:w="3955" w:type="dxa"/>
          </w:tcPr>
          <w:p w:rsidR="00A50AD2" w:rsidRDefault="00A50AD2" w:rsidP="00A50AD2"/>
        </w:tc>
      </w:tr>
      <w:tr w:rsidR="00A50AD2" w:rsidTr="0025027D">
        <w:tc>
          <w:tcPr>
            <w:tcW w:w="495" w:type="dxa"/>
          </w:tcPr>
          <w:p w:rsidR="00A50AD2" w:rsidRDefault="00A50AD2" w:rsidP="00A50AD2"/>
        </w:tc>
        <w:tc>
          <w:tcPr>
            <w:tcW w:w="4900" w:type="dxa"/>
          </w:tcPr>
          <w:p w:rsidR="00A50AD2" w:rsidRDefault="00A50AD2" w:rsidP="00A50AD2"/>
        </w:tc>
        <w:tc>
          <w:tcPr>
            <w:tcW w:w="3955" w:type="dxa"/>
          </w:tcPr>
          <w:p w:rsidR="00A50AD2" w:rsidRDefault="00A50AD2" w:rsidP="00A50AD2"/>
        </w:tc>
      </w:tr>
    </w:tbl>
    <w:p w:rsidR="00A50AD2" w:rsidRPr="00A50AD2" w:rsidRDefault="00A50AD2" w:rsidP="002211A8"/>
    <w:sectPr w:rsidR="00A50AD2" w:rsidRPr="00A50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BD" w:rsidRDefault="000231BD" w:rsidP="00C13B13">
      <w:pPr>
        <w:spacing w:after="0" w:line="240" w:lineRule="auto"/>
      </w:pPr>
      <w:r>
        <w:separator/>
      </w:r>
    </w:p>
  </w:endnote>
  <w:endnote w:type="continuationSeparator" w:id="0">
    <w:p w:rsidR="000231BD" w:rsidRDefault="000231BD" w:rsidP="00C1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BD" w:rsidRDefault="000231BD" w:rsidP="00C13B13">
      <w:pPr>
        <w:spacing w:after="0" w:line="240" w:lineRule="auto"/>
      </w:pPr>
      <w:r>
        <w:separator/>
      </w:r>
    </w:p>
  </w:footnote>
  <w:footnote w:type="continuationSeparator" w:id="0">
    <w:p w:rsidR="000231BD" w:rsidRDefault="000231BD" w:rsidP="00C13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D2"/>
    <w:rsid w:val="000231BD"/>
    <w:rsid w:val="00042519"/>
    <w:rsid w:val="000D4109"/>
    <w:rsid w:val="001042FA"/>
    <w:rsid w:val="001F61C7"/>
    <w:rsid w:val="002211A8"/>
    <w:rsid w:val="0025027D"/>
    <w:rsid w:val="00251FB2"/>
    <w:rsid w:val="00387A70"/>
    <w:rsid w:val="004253D6"/>
    <w:rsid w:val="004D6082"/>
    <w:rsid w:val="0055331F"/>
    <w:rsid w:val="00587386"/>
    <w:rsid w:val="006210F7"/>
    <w:rsid w:val="00674233"/>
    <w:rsid w:val="00826D90"/>
    <w:rsid w:val="008D2D78"/>
    <w:rsid w:val="009035C9"/>
    <w:rsid w:val="00A32673"/>
    <w:rsid w:val="00A50AD2"/>
    <w:rsid w:val="00B02ECD"/>
    <w:rsid w:val="00B37ECF"/>
    <w:rsid w:val="00BB0B1E"/>
    <w:rsid w:val="00C13B13"/>
    <w:rsid w:val="00C26823"/>
    <w:rsid w:val="00EC3B09"/>
    <w:rsid w:val="00F6371C"/>
    <w:rsid w:val="00F8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4F5F85-8A8F-4CC1-8C6A-C02FA19B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13"/>
  </w:style>
  <w:style w:type="paragraph" w:styleId="Footer">
    <w:name w:val="footer"/>
    <w:basedOn w:val="Normal"/>
    <w:link w:val="FooterChar"/>
    <w:uiPriority w:val="99"/>
    <w:unhideWhenUsed/>
    <w:rsid w:val="00C1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13"/>
  </w:style>
  <w:style w:type="paragraph" w:styleId="BalloonText">
    <w:name w:val="Balloon Text"/>
    <w:basedOn w:val="Normal"/>
    <w:link w:val="BalloonTextChar"/>
    <w:uiPriority w:val="99"/>
    <w:semiHidden/>
    <w:unhideWhenUsed/>
    <w:rsid w:val="0025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02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7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D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lle.montreal.qc.ca/portal/page?_pageid=3036,3377687&amp;_dad=portal&amp;_schema=PORTAL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795B07537C615469D853E69B5B6BDA6" ma:contentTypeVersion="3" ma:contentTypeDescription="Create a new document." ma:contentTypeScope="" ma:versionID="3081d10f300e964d8f513743ee1cb3ac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489f37989b9becdd79bae35d3ff99a6f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  <TermInfo xmlns="http://schemas.microsoft.com/office/infopath/2007/PartnerControls">
          <TermName xmlns="http://schemas.microsoft.com/office/infopath/2007/PartnerControls">Community Based Organization</TermName>
          <TermId xmlns="http://schemas.microsoft.com/office/infopath/2007/PartnerControls">36af281b-a546-4033-90fb-79469fe234da</TermId>
        </TermInfo>
        <TermInfo xmlns="http://schemas.microsoft.com/office/infopath/2007/PartnerControls">
          <TermName xmlns="http://schemas.microsoft.com/office/infopath/2007/PartnerControls">Constituent</TermName>
          <TermId xmlns="http://schemas.microsoft.com/office/infopath/2007/PartnerControls">9e1a8d31-dec3-4e6e-b6b7-31340b04a460</TermId>
        </TermInfo>
        <TermInfo xmlns="http://schemas.microsoft.com/office/infopath/2007/PartnerControls">
          <TermName xmlns="http://schemas.microsoft.com/office/infopath/2007/PartnerControls">Federal Government</TermName>
          <TermId xmlns="http://schemas.microsoft.com/office/infopath/2007/PartnerControls">1bf1fe34-5e90-4da2-b9a0-09ebe7738ea5</TermId>
        </TermInfo>
        <TermInfo xmlns="http://schemas.microsoft.com/office/infopath/2007/PartnerControls">
          <TermName xmlns="http://schemas.microsoft.com/office/infopath/2007/PartnerControls">Local Agency</TermName>
          <TermId xmlns="http://schemas.microsoft.com/office/infopath/2007/PartnerControls">a83f7ca9-5f36-4e0a-8547-5f9ce4325ad6</TermId>
        </TermInfo>
        <TermInfo xmlns="http://schemas.microsoft.com/office/infopath/2007/PartnerControls">
          <TermName xmlns="http://schemas.microsoft.com/office/infopath/2007/PartnerControls">Local Government</TermName>
          <TermId xmlns="http://schemas.microsoft.com/office/infopath/2007/PartnerControls">1cd0782c-1d77-4248-a4cc-dba29f07cf73</TermId>
        </TermInfo>
        <TermInfo xmlns="http://schemas.microsoft.com/office/infopath/2007/PartnerControls">
          <TermName xmlns="http://schemas.microsoft.com/office/infopath/2007/PartnerControls">Non-Profit Organization</TermName>
          <TermId xmlns="http://schemas.microsoft.com/office/infopath/2007/PartnerControls">b8cff195-25c4-4b19-9ac6-ae25c51a2bc6</TermId>
        </TermInfo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  <TermInfo xmlns="http://schemas.microsoft.com/office/infopath/2007/PartnerControls">
          <TermName xmlns="http://schemas.microsoft.com/office/infopath/2007/PartnerControls">Tribal Organization</TermName>
          <TermId xmlns="http://schemas.microsoft.com/office/infopath/2007/PartnerControls">4571af86-ee09-46fd-8f60-015882b52072</TermId>
        </TermInfo>
      </Terms>
    </off2d280d04f435e8ad65f64297220d7>
    <TaxCatchAll xmlns="a48324c4-7d20-48d3-8188-32763737222b">
      <Value>181</Value>
      <Value>176</Value>
      <Value>97</Value>
      <Value>168</Value>
      <Value>202</Value>
      <Value>123</Value>
      <Value>196</Value>
      <Value>121</Value>
      <Value>194</Value>
      <Value>193</Value>
      <Value>192</Value>
      <Value>191</Value>
      <Value>190</Value>
      <Value>227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Equity</TermName>
          <TermId xmlns="http://schemas.microsoft.com/office/infopath/2007/PartnerControls">a7847989-87b3-49ed-97a8-af5d0202bb90</TermId>
        </TermInfo>
        <TermInfo xmlns="http://schemas.microsoft.com/office/infopath/2007/PartnerControls">
          <TermName xmlns="http://schemas.microsoft.com/office/infopath/2007/PartnerControls">Social Determinents of Health</TermName>
          <TermId xmlns="http://schemas.microsoft.com/office/infopath/2007/PartnerControls">504b951f-f2e6-45c9-8e2d-0744c9be6f3c</TermId>
        </TermInfo>
        <TermInfo xmlns="http://schemas.microsoft.com/office/infopath/2007/PartnerControls">
          <TermName xmlns="http://schemas.microsoft.com/office/infopath/2007/PartnerControls">Administrative</TermName>
          <TermId xmlns="http://schemas.microsoft.com/office/infopath/2007/PartnerControls">0929c4c0-6675-4db0-8ca0-2d29e37f4ba7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Health Equity</TermName>
          <TermId xmlns="http://schemas.microsoft.com/office/infopath/2007/PartnerControls">f8fe6b25-a09f-4c7b-9100-d3ef73e89270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3BE29D-82B0-4B5A-8A5B-2DE305CCDEB4}"/>
</file>

<file path=customXml/itemProps2.xml><?xml version="1.0" encoding="utf-8"?>
<ds:datastoreItem xmlns:ds="http://schemas.openxmlformats.org/officeDocument/2006/customXml" ds:itemID="{AEE49E8D-C1C2-4049-AA22-FCF7DE82A641}"/>
</file>

<file path=customXml/itemProps3.xml><?xml version="1.0" encoding="utf-8"?>
<ds:datastoreItem xmlns:ds="http://schemas.openxmlformats.org/officeDocument/2006/customXml" ds:itemID="{38AD4652-BF85-4479-AF90-161036519872}"/>
</file>

<file path=customXml/itemProps4.xml><?xml version="1.0" encoding="utf-8"?>
<ds:datastoreItem xmlns:ds="http://schemas.openxmlformats.org/officeDocument/2006/customXml" ds:itemID="{2DD23A0A-2D26-4C3C-8C4F-2AEE4D110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Criteria for Identifying Bold Goals for the Office of Health Equity and the Advisory Committee-ADA</dc:title>
  <dc:subject/>
  <dc:creator>Julien, Jo Ann</dc:creator>
  <cp:keywords/>
  <dc:description/>
  <cp:lastModifiedBy>Hicks, Benjamin (CDPH-OHE)</cp:lastModifiedBy>
  <cp:revision>5</cp:revision>
  <cp:lastPrinted>2018-01-04T02:02:00Z</cp:lastPrinted>
  <dcterms:created xsi:type="dcterms:W3CDTF">2018-01-12T16:10:00Z</dcterms:created>
  <dcterms:modified xsi:type="dcterms:W3CDTF">2018-01-12T16:15:00Z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0x0101002CC577673628EB48993F371F1850BF7D00D795B07537C615469D853E69B5B6BDA6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168;#Health Equity|a7847989-87b3-49ed-97a8-af5d0202bb90;#176;#Social Determinents of Health|504b951f-f2e6-45c9-8e2d-0744c9be6f3c;#227;#Administrative|0929c4c0-6675-4db0-8ca0-2d29e37f4ba7</vt:lpwstr>
  </property>
  <property fmtid="{D5CDD505-2E9C-101B-9397-08002B2CF9AE}" pid="5" name="CDPH Audience">
    <vt:lpwstr>121;#Clinicians/Healthcare Providers|e31e14b8-e46e-494a-8300-1453b14ca9de;#191;#Community Based Organization|36af281b-a546-4033-90fb-79469fe234da;#196;#Constituent|9e1a8d31-dec3-4e6e-b6b7-31340b04a460;#202;#Federal Government|1bf1fe34-5e90-4da2-b9a0-09ebe7738ea5;#192;#Local Agency|a83f7ca9-5f36-4e0a-8547-5f9ce4325ad6;#190;#Local Government|1cd0782c-1d77-4248-a4cc-dba29f07cf73;#193;#Non-Profit Organization|b8cff195-25c4-4b19-9ac6-ae25c51a2bc6;#123;#Other Stakeholder|6b3266fc-4016-443b-9e9e-97a2230ee0e4;#194;#Tribal Organization|4571af86-ee09-46fd-8f60-015882b52072</vt:lpwstr>
  </property>
  <property fmtid="{D5CDD505-2E9C-101B-9397-08002B2CF9AE}" pid="6" name="Program">
    <vt:lpwstr>181;#Office of Health Equity|f8fe6b25-a09f-4c7b-9100-d3ef73e89270</vt:lpwstr>
  </property>
</Properties>
</file>