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E01CF" w14:textId="77777777" w:rsidR="005E42E4" w:rsidRDefault="00445454" w:rsidP="00445454">
      <w:pPr>
        <w:pStyle w:val="Title"/>
      </w:pPr>
      <w:bookmarkStart w:id="0" w:name="_GoBack"/>
      <w:bookmarkEnd w:id="0"/>
      <w:r>
        <w:t>2011 Statewide Medical and Health Exercise</w:t>
      </w:r>
    </w:p>
    <w:p w14:paraId="20383D64" w14:textId="77777777" w:rsidR="00D87F63" w:rsidRDefault="00522245" w:rsidP="00D87F63">
      <w:pPr>
        <w:pStyle w:val="Heading1"/>
        <w:keepNext w:val="0"/>
        <w:keepLines w:val="0"/>
        <w:widowControl w:val="0"/>
        <w:tabs>
          <w:tab w:val="left" w:pos="1620"/>
        </w:tabs>
        <w:spacing w:before="0" w:line="240" w:lineRule="auto"/>
        <w:rPr>
          <w:b/>
          <w:bCs/>
        </w:rPr>
      </w:pPr>
      <w:r>
        <w:rPr>
          <w:spacing w:val="-1"/>
        </w:rPr>
        <w:t>Community Care Clinic</w:t>
      </w:r>
    </w:p>
    <w:p w14:paraId="2897DAFB" w14:textId="77777777" w:rsidR="00D87F63" w:rsidRDefault="00445454" w:rsidP="00D87F63">
      <w:pPr>
        <w:rPr>
          <w:spacing w:val="-5"/>
        </w:rPr>
      </w:pPr>
      <w:r>
        <w:rPr>
          <w:spacing w:val="-5"/>
        </w:rPr>
        <w:t>Exercise</w:t>
      </w:r>
      <w:r>
        <w:rPr>
          <w:spacing w:val="19"/>
        </w:rPr>
        <w:t xml:space="preserve"> </w:t>
      </w:r>
      <w:r>
        <w:rPr>
          <w:spacing w:val="-5"/>
        </w:rPr>
        <w:t>design</w:t>
      </w:r>
      <w:r>
        <w:rPr>
          <w:spacing w:val="19"/>
        </w:rPr>
        <w:t xml:space="preserve"> </w:t>
      </w:r>
      <w:r>
        <w:rPr>
          <w:spacing w:val="-5"/>
        </w:rPr>
        <w:t>objectives</w:t>
      </w:r>
      <w:r>
        <w:rPr>
          <w:spacing w:val="19"/>
        </w:rPr>
        <w:t xml:space="preserve"> </w:t>
      </w:r>
      <w:r>
        <w:rPr>
          <w:spacing w:val="-4"/>
        </w:rPr>
        <w:t>focus</w:t>
      </w:r>
      <w:r>
        <w:rPr>
          <w:spacing w:val="19"/>
        </w:rPr>
        <w:t xml:space="preserve"> </w:t>
      </w:r>
      <w:r>
        <w:rPr>
          <w:spacing w:val="-3"/>
        </w:rPr>
        <w:t>on</w:t>
      </w:r>
      <w:r>
        <w:rPr>
          <w:spacing w:val="19"/>
        </w:rPr>
        <w:t xml:space="preserve"> </w:t>
      </w:r>
      <w:r>
        <w:rPr>
          <w:spacing w:val="-5"/>
        </w:rPr>
        <w:t>improving</w:t>
      </w:r>
      <w:r>
        <w:rPr>
          <w:spacing w:val="19"/>
        </w:rPr>
        <w:t xml:space="preserve"> </w:t>
      </w:r>
      <w:r>
        <w:rPr>
          <w:spacing w:val="-6"/>
        </w:rPr>
        <w:t>understanding</w:t>
      </w:r>
      <w:r>
        <w:rPr>
          <w:spacing w:val="19"/>
        </w:rPr>
        <w:t xml:space="preserve"> </w:t>
      </w:r>
      <w:r>
        <w:rPr>
          <w:spacing w:val="-3"/>
        </w:rPr>
        <w:t>of</w:t>
      </w:r>
      <w:r>
        <w:rPr>
          <w:spacing w:val="19"/>
        </w:rPr>
        <w:t xml:space="preserve"> </w:t>
      </w:r>
      <w:r>
        <w:t>a</w:t>
      </w:r>
      <w:r>
        <w:rPr>
          <w:spacing w:val="19"/>
        </w:rPr>
        <w:t xml:space="preserve"> </w:t>
      </w:r>
      <w:r>
        <w:rPr>
          <w:spacing w:val="-6"/>
        </w:rPr>
        <w:t>response</w:t>
      </w:r>
      <w:r>
        <w:rPr>
          <w:spacing w:val="39"/>
        </w:rPr>
        <w:t xml:space="preserve"> </w:t>
      </w:r>
      <w:r>
        <w:rPr>
          <w:spacing w:val="-5"/>
        </w:rPr>
        <w:t>concept,</w:t>
      </w:r>
      <w:r>
        <w:rPr>
          <w:spacing w:val="47"/>
        </w:rPr>
        <w:t xml:space="preserve"> </w:t>
      </w:r>
      <w:r>
        <w:rPr>
          <w:spacing w:val="-5"/>
        </w:rPr>
        <w:t>evaluating</w:t>
      </w:r>
      <w:r>
        <w:rPr>
          <w:spacing w:val="48"/>
        </w:rPr>
        <w:t xml:space="preserve"> </w:t>
      </w:r>
      <w:r>
        <w:rPr>
          <w:spacing w:val="-5"/>
        </w:rPr>
        <w:t>emergency</w:t>
      </w:r>
      <w:r>
        <w:rPr>
          <w:spacing w:val="48"/>
        </w:rPr>
        <w:t xml:space="preserve"> </w:t>
      </w:r>
      <w:r>
        <w:rPr>
          <w:spacing w:val="-5"/>
        </w:rPr>
        <w:t>response</w:t>
      </w:r>
      <w:r>
        <w:rPr>
          <w:spacing w:val="48"/>
        </w:rPr>
        <w:t xml:space="preserve"> </w:t>
      </w:r>
      <w:r>
        <w:rPr>
          <w:spacing w:val="-5"/>
        </w:rPr>
        <w:t>procedures,</w:t>
      </w:r>
      <w:r>
        <w:rPr>
          <w:spacing w:val="48"/>
        </w:rPr>
        <w:t xml:space="preserve"> </w:t>
      </w:r>
      <w:r>
        <w:rPr>
          <w:spacing w:val="-5"/>
        </w:rPr>
        <w:t>identifying</w:t>
      </w:r>
      <w:r>
        <w:rPr>
          <w:spacing w:val="48"/>
        </w:rPr>
        <w:t xml:space="preserve"> </w:t>
      </w:r>
      <w:r>
        <w:rPr>
          <w:spacing w:val="-4"/>
        </w:rPr>
        <w:t>areas</w:t>
      </w:r>
      <w:r>
        <w:rPr>
          <w:spacing w:val="48"/>
        </w:rPr>
        <w:t xml:space="preserve"> </w:t>
      </w:r>
      <w:r>
        <w:rPr>
          <w:spacing w:val="-5"/>
        </w:rPr>
        <w:t>for</w:t>
      </w:r>
      <w:r>
        <w:rPr>
          <w:spacing w:val="51"/>
        </w:rPr>
        <w:t xml:space="preserve"> </w:t>
      </w:r>
      <w:r>
        <w:rPr>
          <w:spacing w:val="-5"/>
        </w:rPr>
        <w:t>improvement</w:t>
      </w:r>
      <w:r>
        <w:rPr>
          <w:spacing w:val="30"/>
        </w:rPr>
        <w:t xml:space="preserve"> </w:t>
      </w:r>
      <w:r>
        <w:rPr>
          <w:spacing w:val="-4"/>
        </w:rPr>
        <w:t>and</w:t>
      </w:r>
      <w:r>
        <w:rPr>
          <w:spacing w:val="30"/>
        </w:rPr>
        <w:t xml:space="preserve"> </w:t>
      </w:r>
      <w:r>
        <w:rPr>
          <w:spacing w:val="-5"/>
        </w:rPr>
        <w:t>achieving</w:t>
      </w:r>
      <w:r>
        <w:rPr>
          <w:spacing w:val="30"/>
        </w:rPr>
        <w:t xml:space="preserve"> </w:t>
      </w:r>
      <w:r>
        <w:t>a</w:t>
      </w:r>
      <w:r>
        <w:rPr>
          <w:spacing w:val="30"/>
        </w:rPr>
        <w:t xml:space="preserve"> </w:t>
      </w:r>
      <w:r>
        <w:rPr>
          <w:spacing w:val="-5"/>
        </w:rPr>
        <w:t>collaborative</w:t>
      </w:r>
      <w:r>
        <w:rPr>
          <w:spacing w:val="30"/>
        </w:rPr>
        <w:t xml:space="preserve"> </w:t>
      </w:r>
      <w:r>
        <w:rPr>
          <w:spacing w:val="-5"/>
        </w:rPr>
        <w:t>attitude.</w:t>
      </w:r>
      <w:r>
        <w:rPr>
          <w:spacing w:val="64"/>
        </w:rPr>
        <w:t xml:space="preserve"> </w:t>
      </w:r>
      <w:r>
        <w:rPr>
          <w:spacing w:val="-5"/>
        </w:rPr>
        <w:t>Exercise</w:t>
      </w:r>
      <w:r>
        <w:rPr>
          <w:spacing w:val="30"/>
        </w:rPr>
        <w:t xml:space="preserve"> </w:t>
      </w:r>
      <w:r>
        <w:rPr>
          <w:spacing w:val="-5"/>
        </w:rPr>
        <w:t>planners</w:t>
      </w:r>
      <w:r>
        <w:rPr>
          <w:spacing w:val="30"/>
        </w:rPr>
        <w:t xml:space="preserve"> </w:t>
      </w:r>
      <w:r>
        <w:rPr>
          <w:spacing w:val="-5"/>
        </w:rPr>
        <w:t>are</w:t>
      </w:r>
      <w:r>
        <w:rPr>
          <w:spacing w:val="58"/>
        </w:rPr>
        <w:t xml:space="preserve"> </w:t>
      </w:r>
      <w:r>
        <w:rPr>
          <w:spacing w:val="-5"/>
        </w:rPr>
        <w:t>expected</w:t>
      </w:r>
      <w:r>
        <w:rPr>
          <w:spacing w:val="8"/>
        </w:rPr>
        <w:t xml:space="preserve"> </w:t>
      </w:r>
      <w:r>
        <w:rPr>
          <w:spacing w:val="-3"/>
        </w:rPr>
        <w:t>to</w:t>
      </w:r>
      <w:r>
        <w:rPr>
          <w:spacing w:val="8"/>
        </w:rPr>
        <w:t xml:space="preserve"> </w:t>
      </w:r>
      <w:r>
        <w:rPr>
          <w:spacing w:val="-5"/>
        </w:rPr>
        <w:t>tailor</w:t>
      </w:r>
      <w:r>
        <w:rPr>
          <w:spacing w:val="8"/>
        </w:rPr>
        <w:t xml:space="preserve"> </w:t>
      </w:r>
      <w:r>
        <w:rPr>
          <w:spacing w:val="-4"/>
        </w:rPr>
        <w:t>these</w:t>
      </w:r>
      <w:r>
        <w:rPr>
          <w:spacing w:val="8"/>
        </w:rPr>
        <w:t xml:space="preserve"> </w:t>
      </w:r>
      <w:r>
        <w:rPr>
          <w:spacing w:val="-5"/>
        </w:rPr>
        <w:t>objectives</w:t>
      </w:r>
      <w:r>
        <w:rPr>
          <w:spacing w:val="8"/>
        </w:rPr>
        <w:t xml:space="preserve"> </w:t>
      </w:r>
      <w:r>
        <w:rPr>
          <w:spacing w:val="-3"/>
        </w:rPr>
        <w:t>to</w:t>
      </w:r>
      <w:r>
        <w:rPr>
          <w:spacing w:val="7"/>
        </w:rPr>
        <w:t xml:space="preserve"> </w:t>
      </w:r>
      <w:r>
        <w:rPr>
          <w:spacing w:val="-5"/>
        </w:rPr>
        <w:t>their</w:t>
      </w:r>
      <w:r>
        <w:rPr>
          <w:spacing w:val="7"/>
        </w:rPr>
        <w:t xml:space="preserve"> </w:t>
      </w:r>
      <w:r>
        <w:rPr>
          <w:spacing w:val="-5"/>
        </w:rPr>
        <w:t>specific</w:t>
      </w:r>
      <w:r>
        <w:rPr>
          <w:spacing w:val="7"/>
        </w:rPr>
        <w:t xml:space="preserve"> </w:t>
      </w:r>
      <w:r>
        <w:rPr>
          <w:spacing w:val="-5"/>
        </w:rPr>
        <w:t>exercise</w:t>
      </w:r>
      <w:r>
        <w:rPr>
          <w:spacing w:val="8"/>
        </w:rPr>
        <w:t xml:space="preserve"> </w:t>
      </w:r>
      <w:r>
        <w:rPr>
          <w:spacing w:val="-4"/>
        </w:rPr>
        <w:t>needs</w:t>
      </w:r>
      <w:r>
        <w:rPr>
          <w:spacing w:val="8"/>
        </w:rPr>
        <w:t xml:space="preserve"> </w:t>
      </w:r>
      <w:r>
        <w:rPr>
          <w:spacing w:val="-5"/>
        </w:rPr>
        <w:t>and</w:t>
      </w:r>
      <w:r>
        <w:rPr>
          <w:spacing w:val="50"/>
        </w:rPr>
        <w:t xml:space="preserve"> </w:t>
      </w:r>
      <w:r>
        <w:rPr>
          <w:spacing w:val="-5"/>
        </w:rPr>
        <w:t>capabilities</w:t>
      </w:r>
      <w:r>
        <w:t xml:space="preserve"> </w:t>
      </w:r>
      <w:r>
        <w:rPr>
          <w:spacing w:val="-3"/>
        </w:rPr>
        <w:t>or</w:t>
      </w:r>
      <w:r>
        <w:t xml:space="preserve"> </w:t>
      </w:r>
      <w:r>
        <w:rPr>
          <w:spacing w:val="-5"/>
        </w:rPr>
        <w:t>develop</w:t>
      </w:r>
      <w:r>
        <w:t xml:space="preserve"> </w:t>
      </w:r>
      <w:r>
        <w:rPr>
          <w:spacing w:val="-5"/>
        </w:rPr>
        <w:t>additional</w:t>
      </w:r>
      <w:r>
        <w:t xml:space="preserve"> </w:t>
      </w:r>
      <w:r>
        <w:rPr>
          <w:spacing w:val="-5"/>
        </w:rPr>
        <w:t>objectives,</w:t>
      </w:r>
      <w:r>
        <w:rPr>
          <w:spacing w:val="-1"/>
        </w:rPr>
        <w:t xml:space="preserve"> </w:t>
      </w:r>
      <w:r>
        <w:rPr>
          <w:spacing w:val="-3"/>
        </w:rPr>
        <w:t>as</w:t>
      </w:r>
      <w:r>
        <w:rPr>
          <w:spacing w:val="-1"/>
        </w:rPr>
        <w:t xml:space="preserve"> </w:t>
      </w:r>
      <w:r>
        <w:rPr>
          <w:spacing w:val="-5"/>
        </w:rPr>
        <w:t>necessary.</w:t>
      </w:r>
    </w:p>
    <w:p w14:paraId="64B884C1" w14:textId="77777777" w:rsidR="00522245" w:rsidRPr="00522245" w:rsidRDefault="00522245" w:rsidP="00522245">
      <w:pPr>
        <w:pStyle w:val="Heading2"/>
        <w:rPr>
          <w:rFonts w:eastAsiaTheme="minorHAnsi"/>
        </w:rPr>
      </w:pPr>
      <w:r w:rsidRPr="00522245">
        <w:rPr>
          <w:rFonts w:eastAsiaTheme="minorHAnsi"/>
        </w:rPr>
        <w:t>Target Capability: Communications</w:t>
      </w:r>
    </w:p>
    <w:p w14:paraId="15C9DB73" w14:textId="77777777" w:rsidR="00522245" w:rsidRPr="00522245" w:rsidRDefault="00522245" w:rsidP="00522245">
      <w:pPr>
        <w:widowControl w:val="0"/>
        <w:tabs>
          <w:tab w:val="left" w:pos="1981"/>
        </w:tabs>
        <w:spacing w:before="69" w:after="0" w:line="240" w:lineRule="auto"/>
        <w:ind w:right="366"/>
        <w:rPr>
          <w:spacing w:val="-3"/>
        </w:rPr>
      </w:pPr>
      <w:r w:rsidRPr="00522245">
        <w:rPr>
          <w:spacing w:val="-3"/>
        </w:rPr>
        <w:t>Determine/evaluate the clinic’s ability to communicate with response partners including other health care entities, local health department, community organizations and emergency management agencies as appropriate to jurisdictional response.</w:t>
      </w:r>
    </w:p>
    <w:p w14:paraId="7BF47D80" w14:textId="77777777" w:rsidR="00522245" w:rsidRPr="00522245" w:rsidRDefault="00522245" w:rsidP="00522245">
      <w:pPr>
        <w:widowControl w:val="0"/>
        <w:tabs>
          <w:tab w:val="left" w:pos="1981"/>
        </w:tabs>
        <w:spacing w:after="0" w:line="240" w:lineRule="auto"/>
        <w:ind w:right="226"/>
        <w:rPr>
          <w:spacing w:val="-3"/>
        </w:rPr>
      </w:pPr>
      <w:r w:rsidRPr="00522245">
        <w:rPr>
          <w:spacing w:val="-3"/>
        </w:rPr>
        <w:t>Discuss/test the ability to communicate needs to outside sources (e.g., vendors, suppliers, emergency medical services providers, water authorities, law enforcement, city/operational area stockpiles, corporate health care system) for essential supplies, services and equipment to ensure integrity of resource supply chain.</w:t>
      </w:r>
    </w:p>
    <w:p w14:paraId="6D7F9693" w14:textId="77777777" w:rsidR="00522245" w:rsidRPr="00522245" w:rsidRDefault="00522245" w:rsidP="00522245">
      <w:pPr>
        <w:pStyle w:val="Heading2"/>
        <w:rPr>
          <w:rFonts w:eastAsiaTheme="minorHAnsi"/>
        </w:rPr>
      </w:pPr>
      <w:r w:rsidRPr="00522245">
        <w:rPr>
          <w:rFonts w:eastAsiaTheme="minorHAnsi"/>
        </w:rPr>
        <w:t>Target Capability: Intelligence/Information Sharing and Dissemination</w:t>
      </w:r>
    </w:p>
    <w:p w14:paraId="52C08800" w14:textId="77777777" w:rsidR="00522245" w:rsidRPr="00522245" w:rsidRDefault="00522245" w:rsidP="00522245">
      <w:pPr>
        <w:widowControl w:val="0"/>
        <w:tabs>
          <w:tab w:val="left" w:pos="1981"/>
        </w:tabs>
        <w:spacing w:before="69" w:after="0" w:line="240" w:lineRule="auto"/>
        <w:ind w:right="458"/>
        <w:rPr>
          <w:spacing w:val="-3"/>
        </w:rPr>
      </w:pPr>
      <w:r w:rsidRPr="00522245">
        <w:rPr>
          <w:spacing w:val="-3"/>
        </w:rPr>
        <w:t>Review/test the adequacy of the information management plans and technology for gathering intelligence and sharing information internally (with employees and patients) and externally (with response partners and authorities).</w:t>
      </w:r>
    </w:p>
    <w:p w14:paraId="3F2E58EB" w14:textId="77777777" w:rsidR="00522245" w:rsidRPr="00522245" w:rsidRDefault="00522245" w:rsidP="00522245">
      <w:pPr>
        <w:widowControl w:val="0"/>
        <w:tabs>
          <w:tab w:val="left" w:pos="1981"/>
        </w:tabs>
        <w:spacing w:after="0" w:line="240" w:lineRule="auto"/>
        <w:ind w:right="458"/>
        <w:rPr>
          <w:spacing w:val="-3"/>
        </w:rPr>
      </w:pPr>
      <w:r w:rsidRPr="00522245">
        <w:rPr>
          <w:spacing w:val="-3"/>
        </w:rPr>
        <w:t>Review/test risk communication and information management plans and develop public information messages in coordination with local authorities (e.g., Joint Information System) emergency management and health care providers in a rapid and timely manner for internal (staff) and external (e.g., patients, media, and community) dissemination.</w:t>
      </w:r>
    </w:p>
    <w:p w14:paraId="7015FEF1" w14:textId="77777777" w:rsidR="00522245" w:rsidRPr="00522245" w:rsidRDefault="00522245" w:rsidP="00522245">
      <w:pPr>
        <w:widowControl w:val="0"/>
        <w:tabs>
          <w:tab w:val="left" w:pos="1981"/>
        </w:tabs>
        <w:spacing w:after="0" w:line="240" w:lineRule="auto"/>
        <w:ind w:right="1029"/>
        <w:rPr>
          <w:spacing w:val="-3"/>
        </w:rPr>
      </w:pPr>
      <w:r w:rsidRPr="00522245">
        <w:rPr>
          <w:spacing w:val="-3"/>
        </w:rPr>
        <w:t>Discuss/exercise the ability to provide situational status and projected impact on service provision to local authorities.</w:t>
      </w:r>
    </w:p>
    <w:p w14:paraId="16E26002" w14:textId="77777777" w:rsidR="00522245" w:rsidRPr="00522245" w:rsidRDefault="00522245" w:rsidP="00522245">
      <w:pPr>
        <w:pStyle w:val="Heading2"/>
        <w:rPr>
          <w:rFonts w:eastAsiaTheme="minorHAnsi"/>
        </w:rPr>
      </w:pPr>
      <w:r w:rsidRPr="00522245">
        <w:rPr>
          <w:rFonts w:eastAsiaTheme="minorHAnsi"/>
        </w:rPr>
        <w:t>Target Capability: Medical Surge</w:t>
      </w:r>
    </w:p>
    <w:p w14:paraId="0589FB55" w14:textId="77777777" w:rsidR="00522245" w:rsidRDefault="00522245" w:rsidP="00522245">
      <w:pPr>
        <w:widowControl w:val="0"/>
        <w:tabs>
          <w:tab w:val="left" w:pos="1980"/>
        </w:tabs>
        <w:spacing w:before="69" w:after="0" w:line="240" w:lineRule="auto"/>
        <w:ind w:right="202"/>
        <w:rPr>
          <w:spacing w:val="-3"/>
        </w:rPr>
      </w:pPr>
      <w:r w:rsidRPr="00522245">
        <w:rPr>
          <w:spacing w:val="-3"/>
        </w:rPr>
        <w:t xml:space="preserve">Determine/evaluate the ability of the clinic to expand capacity by utilizing non-traditional patient care areas within the facility (e.g., office space, conference rooms) for the triage and treatment of patients and/or acute care hospital </w:t>
      </w:r>
      <w:r>
        <w:rPr>
          <w:spacing w:val="-3"/>
        </w:rPr>
        <w:t>transfers</w:t>
      </w:r>
    </w:p>
    <w:p w14:paraId="197B8DC0" w14:textId="77777777" w:rsidR="00522245" w:rsidRPr="00522245" w:rsidRDefault="00522245" w:rsidP="00522245">
      <w:pPr>
        <w:widowControl w:val="0"/>
        <w:tabs>
          <w:tab w:val="left" w:pos="1980"/>
        </w:tabs>
        <w:spacing w:before="69" w:after="0" w:line="240" w:lineRule="auto"/>
        <w:ind w:right="202"/>
        <w:rPr>
          <w:spacing w:val="-3"/>
        </w:rPr>
      </w:pPr>
      <w:r w:rsidRPr="00522245">
        <w:rPr>
          <w:spacing w:val="-3"/>
        </w:rPr>
        <w:t>Determine/evaluate the ability to prioritize, manage and allocate resources, especially scarce resources in the response to an emergency event and determine ability to assist other clinics and health care providers in the operational area with personnel and equipment resources.</w:t>
      </w:r>
    </w:p>
    <w:p w14:paraId="33F9B620" w14:textId="77777777" w:rsidR="00522245" w:rsidRPr="00522245" w:rsidRDefault="00522245" w:rsidP="00522245">
      <w:pPr>
        <w:widowControl w:val="0"/>
        <w:tabs>
          <w:tab w:val="left" w:pos="2022"/>
        </w:tabs>
        <w:spacing w:after="0" w:line="240" w:lineRule="auto"/>
        <w:ind w:right="867"/>
        <w:rPr>
          <w:spacing w:val="-3"/>
        </w:rPr>
      </w:pPr>
      <w:r w:rsidRPr="00522245">
        <w:rPr>
          <w:spacing w:val="-3"/>
        </w:rPr>
        <w:t>Discuss/test the capability to provide care when there is a disruption of the public water system.</w:t>
      </w:r>
    </w:p>
    <w:p w14:paraId="0DCCA605" w14:textId="77777777" w:rsidR="00522245" w:rsidRPr="00522245" w:rsidRDefault="00522245" w:rsidP="00522245">
      <w:pPr>
        <w:widowControl w:val="0"/>
        <w:spacing w:after="0" w:line="240" w:lineRule="auto"/>
        <w:rPr>
          <w:spacing w:val="-3"/>
        </w:rPr>
      </w:pPr>
      <w:r w:rsidRPr="00522245">
        <w:rPr>
          <w:spacing w:val="-3"/>
        </w:rPr>
        <w:t>Target Capability: Emergency Operations Center Management</w:t>
      </w:r>
    </w:p>
    <w:p w14:paraId="7F09D0B9" w14:textId="77777777" w:rsidR="00522245" w:rsidRPr="00522245" w:rsidRDefault="00522245" w:rsidP="00522245">
      <w:pPr>
        <w:widowControl w:val="0"/>
        <w:tabs>
          <w:tab w:val="left" w:pos="1980"/>
        </w:tabs>
        <w:spacing w:before="69" w:after="0" w:line="240" w:lineRule="auto"/>
        <w:ind w:right="504"/>
        <w:rPr>
          <w:spacing w:val="-3"/>
        </w:rPr>
      </w:pPr>
      <w:r w:rsidRPr="00522245">
        <w:rPr>
          <w:spacing w:val="-3"/>
        </w:rPr>
        <w:t>Review/test the Emergency Operations Plan and hazard specific plans where indicated.</w:t>
      </w:r>
    </w:p>
    <w:p w14:paraId="36995147" w14:textId="77777777" w:rsidR="00522245" w:rsidRPr="00522245" w:rsidRDefault="00522245" w:rsidP="00522245">
      <w:pPr>
        <w:widowControl w:val="0"/>
        <w:tabs>
          <w:tab w:val="left" w:pos="1980"/>
        </w:tabs>
        <w:spacing w:after="0" w:line="240" w:lineRule="auto"/>
        <w:ind w:right="504"/>
        <w:rPr>
          <w:spacing w:val="-3"/>
        </w:rPr>
      </w:pPr>
      <w:r w:rsidRPr="00522245">
        <w:rPr>
          <w:spacing w:val="-3"/>
        </w:rPr>
        <w:t>Discuss/exercise the ability to activate the command center and initiate incident action planning for event response and recovery.</w:t>
      </w:r>
    </w:p>
    <w:sectPr w:rsidR="00522245" w:rsidRPr="0052224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F6D624" w14:textId="77777777" w:rsidR="00000000" w:rsidRDefault="00C13B97">
      <w:pPr>
        <w:spacing w:after="0" w:line="240" w:lineRule="auto"/>
      </w:pPr>
      <w:r>
        <w:separator/>
      </w:r>
    </w:p>
  </w:endnote>
  <w:endnote w:type="continuationSeparator" w:id="0">
    <w:p w14:paraId="59B2DEE6" w14:textId="77777777" w:rsidR="00000000" w:rsidRDefault="00C13B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4E962" w14:textId="77777777" w:rsidR="00000000" w:rsidRDefault="00C13B97">
      <w:pPr>
        <w:spacing w:after="0" w:line="240" w:lineRule="auto"/>
      </w:pPr>
      <w:r>
        <w:separator/>
      </w:r>
    </w:p>
  </w:footnote>
  <w:footnote w:type="continuationSeparator" w:id="0">
    <w:p w14:paraId="37723251" w14:textId="77777777" w:rsidR="00000000" w:rsidRDefault="00C13B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23D5" w14:textId="77777777" w:rsidR="00522245" w:rsidRDefault="00C13B97">
    <w:pPr>
      <w:spacing w:line="14" w:lineRule="auto"/>
      <w:rPr>
        <w:sz w:val="20"/>
        <w:szCs w:val="20"/>
      </w:rPr>
    </w:pPr>
    <w:r>
      <w:pict w14:anchorId="519AD23D">
        <v:group id="_x0000_s2059" style="position:absolute;margin-left:88.5pt;margin-top:64.15pt;width:435pt;height:.1pt;z-index:-251657216;mso-position-horizontal-relative:page;mso-position-vertical-relative:page" coordorigin="1770,1283" coordsize="8700,2">
          <v:shape id="_x0000_s2060" style="position:absolute;left:1770;top:1283;width:8700;height:2" coordorigin="1770,1283" coordsize="8700,0" path="m1770,1283r8700,e" filled="f" strokeweight=".58pt">
            <v:path arrowok="t"/>
          </v:shape>
          <w10:wrap anchorx="page" anchory="page"/>
        </v:group>
      </w:pict>
    </w:r>
    <w:r>
      <w:pict w14:anchorId="6D85B1EA">
        <v:shapetype id="_x0000_t202" coordsize="21600,21600" o:spt="202" path="m,l,21600r21600,l21600,xe">
          <v:stroke joinstyle="miter"/>
          <v:path gradientshapeok="t" o:connecttype="rect"/>
        </v:shapetype>
        <v:shape id="_x0000_s2061" type="#_x0000_t202" style="position:absolute;margin-left:89pt;margin-top:37.2pt;width:91.6pt;height:13pt;z-index:-251656192;mso-position-horizontal-relative:page;mso-position-vertical-relative:page" filled="f" stroked="f">
          <v:textbox inset="0,0,0,0">
            <w:txbxContent>
              <w:p w14:paraId="3F13969C" w14:textId="77777777" w:rsidR="00522245" w:rsidRDefault="00522245">
                <w:pPr>
                  <w:spacing w:line="244" w:lineRule="exact"/>
                  <w:ind w:left="20"/>
                  <w:rPr>
                    <w:rFonts w:ascii="Calibri" w:eastAsia="Calibri" w:hAnsi="Calibri" w:cs="Calibri"/>
                  </w:rPr>
                </w:pPr>
                <w:r>
                  <w:rPr>
                    <w:rFonts w:ascii="Calibri"/>
                    <w:b/>
                  </w:rPr>
                  <w:t>Exercise</w:t>
                </w:r>
                <w:r>
                  <w:rPr>
                    <w:rFonts w:ascii="Calibri"/>
                    <w:b/>
                    <w:spacing w:val="-18"/>
                  </w:rPr>
                  <w:t xml:space="preserve"> </w:t>
                </w:r>
                <w:r>
                  <w:rPr>
                    <w:rFonts w:ascii="Calibri"/>
                    <w:b/>
                  </w:rPr>
                  <w:t>Guidebook</w:t>
                </w:r>
              </w:p>
            </w:txbxContent>
          </v:textbox>
          <w10:wrap anchorx="page" anchory="page"/>
        </v:shape>
      </w:pict>
    </w:r>
    <w:r>
      <w:pict w14:anchorId="45239AEC">
        <v:shape id="_x0000_s2062" type="#_x0000_t202" style="position:absolute;margin-left:319pt;margin-top:37.2pt;width:204pt;height:13pt;z-index:-251655168;mso-position-horizontal-relative:page;mso-position-vertical-relative:page" filled="f" stroked="f">
          <v:textbox inset="0,0,0,0">
            <w:txbxContent>
              <w:p w14:paraId="06DF71F6" w14:textId="77777777" w:rsidR="00522245" w:rsidRDefault="00522245">
                <w:pPr>
                  <w:spacing w:line="244" w:lineRule="exact"/>
                  <w:ind w:left="20"/>
                  <w:rPr>
                    <w:rFonts w:ascii="Calibri" w:eastAsia="Calibri" w:hAnsi="Calibri" w:cs="Calibri"/>
                  </w:rPr>
                </w:pPr>
                <w:r>
                  <w:rPr>
                    <w:rFonts w:ascii="Calibri"/>
                    <w:b/>
                  </w:rPr>
                  <w:t>2011</w:t>
                </w:r>
                <w:r>
                  <w:rPr>
                    <w:rFonts w:ascii="Calibri"/>
                    <w:b/>
                    <w:spacing w:val="-9"/>
                  </w:rPr>
                  <w:t xml:space="preserve"> </w:t>
                </w:r>
                <w:r>
                  <w:rPr>
                    <w:rFonts w:ascii="Calibri"/>
                    <w:b/>
                    <w:spacing w:val="-1"/>
                  </w:rPr>
                  <w:t>Statewide</w:t>
                </w:r>
                <w:r>
                  <w:rPr>
                    <w:rFonts w:ascii="Calibri"/>
                    <w:b/>
                    <w:spacing w:val="-9"/>
                  </w:rPr>
                  <w:t xml:space="preserve"> </w:t>
                </w:r>
                <w:r>
                  <w:rPr>
                    <w:rFonts w:ascii="Calibri"/>
                    <w:b/>
                    <w:spacing w:val="-1"/>
                  </w:rPr>
                  <w:t>Medical</w:t>
                </w:r>
                <w:r>
                  <w:rPr>
                    <w:rFonts w:ascii="Calibri"/>
                    <w:b/>
                    <w:spacing w:val="-8"/>
                  </w:rPr>
                  <w:t xml:space="preserve"> </w:t>
                </w:r>
                <w:r>
                  <w:rPr>
                    <w:rFonts w:ascii="Calibri"/>
                    <w:b/>
                  </w:rPr>
                  <w:t>and</w:t>
                </w:r>
                <w:r>
                  <w:rPr>
                    <w:rFonts w:ascii="Calibri"/>
                    <w:b/>
                    <w:spacing w:val="-8"/>
                  </w:rPr>
                  <w:t xml:space="preserve"> </w:t>
                </w:r>
                <w:r>
                  <w:rPr>
                    <w:rFonts w:ascii="Calibri"/>
                    <w:b/>
                    <w:spacing w:val="-1"/>
                  </w:rPr>
                  <w:t>Health</w:t>
                </w:r>
                <w:r>
                  <w:rPr>
                    <w:rFonts w:ascii="Calibri"/>
                    <w:b/>
                    <w:spacing w:val="-8"/>
                  </w:rPr>
                  <w:t xml:space="preserve"> </w:t>
                </w:r>
                <w:r>
                  <w:rPr>
                    <w:rFonts w:ascii="Calibri"/>
                    <w:b/>
                  </w:rPr>
                  <w:t>Exercise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03A2B"/>
    <w:multiLevelType w:val="hybridMultilevel"/>
    <w:tmpl w:val="A2B454E4"/>
    <w:lvl w:ilvl="0" w:tplc="2668A800">
      <w:start w:val="1"/>
      <w:numFmt w:val="decimal"/>
      <w:lvlText w:val="(%1)"/>
      <w:lvlJc w:val="left"/>
      <w:pPr>
        <w:ind w:left="180" w:hanging="361"/>
      </w:pPr>
      <w:rPr>
        <w:rFonts w:ascii="Arial" w:eastAsia="Arial" w:hAnsi="Arial" w:hint="default"/>
        <w:spacing w:val="-1"/>
        <w:sz w:val="24"/>
        <w:szCs w:val="24"/>
      </w:rPr>
    </w:lvl>
    <w:lvl w:ilvl="1" w:tplc="AF8408F6">
      <w:start w:val="1"/>
      <w:numFmt w:val="decimal"/>
      <w:lvlText w:val="%2."/>
      <w:lvlJc w:val="left"/>
      <w:pPr>
        <w:ind w:left="1620" w:hanging="721"/>
      </w:pPr>
      <w:rPr>
        <w:rFonts w:ascii="Arial" w:eastAsia="Arial" w:hAnsi="Arial" w:hint="default"/>
        <w:b/>
        <w:bCs/>
        <w:spacing w:val="-5"/>
        <w:sz w:val="24"/>
        <w:szCs w:val="24"/>
      </w:rPr>
    </w:lvl>
    <w:lvl w:ilvl="2" w:tplc="0652F446">
      <w:start w:val="1"/>
      <w:numFmt w:val="lowerLetter"/>
      <w:lvlText w:val="%3."/>
      <w:lvlJc w:val="left"/>
      <w:pPr>
        <w:ind w:left="1980" w:hanging="361"/>
      </w:pPr>
      <w:rPr>
        <w:rFonts w:ascii="Arial" w:eastAsia="Arial" w:hAnsi="Arial" w:hint="default"/>
        <w:spacing w:val="-6"/>
        <w:sz w:val="24"/>
        <w:szCs w:val="24"/>
      </w:rPr>
    </w:lvl>
    <w:lvl w:ilvl="3" w:tplc="E722C0E6">
      <w:start w:val="1"/>
      <w:numFmt w:val="bullet"/>
      <w:lvlText w:val="•"/>
      <w:lvlJc w:val="left"/>
      <w:pPr>
        <w:ind w:left="1980" w:hanging="361"/>
      </w:pPr>
      <w:rPr>
        <w:rFonts w:hint="default"/>
      </w:rPr>
    </w:lvl>
    <w:lvl w:ilvl="4" w:tplc="C4CA14EA">
      <w:start w:val="1"/>
      <w:numFmt w:val="bullet"/>
      <w:lvlText w:val="•"/>
      <w:lvlJc w:val="left"/>
      <w:pPr>
        <w:ind w:left="1980" w:hanging="361"/>
      </w:pPr>
      <w:rPr>
        <w:rFonts w:hint="default"/>
      </w:rPr>
    </w:lvl>
    <w:lvl w:ilvl="5" w:tplc="DC100052">
      <w:start w:val="1"/>
      <w:numFmt w:val="bullet"/>
      <w:lvlText w:val="•"/>
      <w:lvlJc w:val="left"/>
      <w:pPr>
        <w:ind w:left="1980" w:hanging="361"/>
      </w:pPr>
      <w:rPr>
        <w:rFonts w:hint="default"/>
      </w:rPr>
    </w:lvl>
    <w:lvl w:ilvl="6" w:tplc="B10A7CF0">
      <w:start w:val="1"/>
      <w:numFmt w:val="bullet"/>
      <w:lvlText w:val="•"/>
      <w:lvlJc w:val="left"/>
      <w:pPr>
        <w:ind w:left="3079" w:hanging="361"/>
      </w:pPr>
      <w:rPr>
        <w:rFonts w:hint="default"/>
      </w:rPr>
    </w:lvl>
    <w:lvl w:ilvl="7" w:tplc="69684C64">
      <w:start w:val="1"/>
      <w:numFmt w:val="bullet"/>
      <w:lvlText w:val="•"/>
      <w:lvlJc w:val="left"/>
      <w:pPr>
        <w:ind w:left="4179" w:hanging="361"/>
      </w:pPr>
      <w:rPr>
        <w:rFonts w:hint="default"/>
      </w:rPr>
    </w:lvl>
    <w:lvl w:ilvl="8" w:tplc="1368F450">
      <w:start w:val="1"/>
      <w:numFmt w:val="bullet"/>
      <w:lvlText w:val="•"/>
      <w:lvlJc w:val="left"/>
      <w:pPr>
        <w:ind w:left="5279"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454"/>
    <w:rsid w:val="00290136"/>
    <w:rsid w:val="00445454"/>
    <w:rsid w:val="00522245"/>
    <w:rsid w:val="005E42E4"/>
    <w:rsid w:val="00C13B97"/>
    <w:rsid w:val="00D8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35D0591E"/>
  <w15:chartTrackingRefBased/>
  <w15:docId w15:val="{2E2C0603-4784-4209-AC9C-6D0C021EA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454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9013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9013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4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45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4545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90136"/>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290136"/>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D87F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2CC577673628EB48993F371F1850BF7D00DA5A59B87D361C479DD1968F68A864D5" ma:contentTypeVersion="4" ma:contentTypeDescription="Create a new document." ma:contentTypeScope="" ma:versionID="e4720275ad750504ee3f48ef03865664">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607eac1176342789d35cd8f7fe0b7f9a"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FACCE1-F28E-449E-B208-436845D08336}"/>
</file>

<file path=customXml/itemProps2.xml><?xml version="1.0" encoding="utf-8"?>
<ds:datastoreItem xmlns:ds="http://schemas.openxmlformats.org/officeDocument/2006/customXml" ds:itemID="{06A2031C-8037-4016-AB3C-9C80B4546F15}"/>
</file>

<file path=customXml/itemProps3.xml><?xml version="1.0" encoding="utf-8"?>
<ds:datastoreItem xmlns:ds="http://schemas.openxmlformats.org/officeDocument/2006/customXml" ds:itemID="{5FE20540-1279-4D3E-A401-853B5A559135}"/>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Water Loss Objectives - Clinics</vt:lpstr>
    </vt:vector>
  </TitlesOfParts>
  <Company>CDPH</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Loss Objectives - Clinics</dc:title>
  <dc:subject/>
  <dc:creator>Schafer, Charles (CDPH-EPO)</dc:creator>
  <cp:keywords/>
  <dc:description/>
  <cp:lastModifiedBy>Baker, Jason (CDPH-EPO)</cp:lastModifiedBy>
  <cp:revision>3</cp:revision>
  <dcterms:created xsi:type="dcterms:W3CDTF">2018-03-28T21:10:00Z</dcterms:created>
  <dcterms:modified xsi:type="dcterms:W3CDTF">2018-03-29T21:08:00Z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0x0101002CC577673628EB48993F371F1850BF7D00DA5A59B87D361C479DD1968F68A864D5</vt:lpwstr>
  </property>
  <property fmtid="{D5CDD505-2E9C-101B-9397-08002B2CF9AE}" pid="3" name="Content Language">
    <vt:lpwstr>97;#English|25e340a5-d50c-48d7-adc0-a905fb7bff5c</vt:lpwstr>
  </property>
  <property fmtid="{D5CDD505-2E9C-101B-9397-08002B2CF9AE}" pid="4" name="CDPH Audience">
    <vt:lpwstr/>
  </property>
  <property fmtid="{D5CDD505-2E9C-101B-9397-08002B2CF9AE}" pid="5" name="Topic">
    <vt:lpwstr/>
  </property>
  <property fmtid="{D5CDD505-2E9C-101B-9397-08002B2CF9AE}" pid="6" name="Program">
    <vt:lpwstr/>
  </property>
</Properties>
</file>