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5FB5E" w14:textId="3A72AE78" w:rsidR="00417754" w:rsidRPr="00A446A1" w:rsidRDefault="00A446A1" w:rsidP="00A446A1">
      <w:pPr>
        <w:spacing w:after="0"/>
        <w:rPr>
          <w:rFonts w:ascii="Arial" w:hAnsi="Arial"/>
          <w:color w:val="002060"/>
          <w:sz w:val="20"/>
          <w:szCs w:val="20"/>
        </w:rPr>
      </w:pPr>
      <w:r>
        <w:rPr>
          <w:rFonts w:ascii="Arial" w:hAnsi="Arial"/>
          <w:color w:val="002060"/>
          <w:sz w:val="28"/>
          <w:szCs w:val="28"/>
        </w:rPr>
        <w:t>2023</w:t>
      </w:r>
      <w:r w:rsidRPr="00A446A1">
        <w:rPr>
          <w:rFonts w:ascii="Arial" w:hAnsi="Arial"/>
          <w:color w:val="002060"/>
          <w:sz w:val="28"/>
          <w:szCs w:val="28"/>
        </w:rPr>
        <w:t xml:space="preserve"> Statewide Medical </w:t>
      </w:r>
      <w:r>
        <w:rPr>
          <w:rFonts w:ascii="Arial" w:hAnsi="Arial"/>
          <w:color w:val="002060"/>
          <w:sz w:val="28"/>
          <w:szCs w:val="28"/>
        </w:rPr>
        <w:t>a</w:t>
      </w:r>
      <w:r w:rsidRPr="00A446A1">
        <w:rPr>
          <w:rFonts w:ascii="Arial" w:hAnsi="Arial"/>
          <w:color w:val="002060"/>
          <w:sz w:val="28"/>
          <w:szCs w:val="28"/>
        </w:rPr>
        <w:t>nd Health Exercise</w:t>
      </w:r>
    </w:p>
    <w:p w14:paraId="0B9033E1" w14:textId="0FFC562C" w:rsidR="00417754" w:rsidRPr="00A446A1" w:rsidRDefault="00A446A1" w:rsidP="00A446A1">
      <w:pPr>
        <w:pStyle w:val="Header"/>
        <w:spacing w:line="276" w:lineRule="auto"/>
        <w:outlineLvl w:val="0"/>
        <w:rPr>
          <w:rFonts w:ascii="Arial" w:hAnsi="Arial"/>
          <w:color w:val="002060"/>
          <w:sz w:val="44"/>
          <w:szCs w:val="44"/>
        </w:rPr>
      </w:pPr>
      <w:r w:rsidRPr="00A446A1">
        <w:rPr>
          <w:rFonts w:ascii="Arial" w:hAnsi="Arial"/>
          <w:color w:val="002060"/>
          <w:sz w:val="44"/>
          <w:szCs w:val="44"/>
        </w:rPr>
        <w:t>Public Safety Organizational Self-Assessment</w:t>
      </w:r>
    </w:p>
    <w:p w14:paraId="6F17071E" w14:textId="686730DC" w:rsidR="009E3A9E" w:rsidRPr="00500810" w:rsidRDefault="009E3A9E" w:rsidP="00956B9A">
      <w:pPr>
        <w:pStyle w:val="Header"/>
        <w:spacing w:line="276" w:lineRule="auto"/>
        <w:outlineLvl w:val="0"/>
        <w:rPr>
          <w:rFonts w:ascii="Arial" w:eastAsia="Times New Roman" w:hAnsi="Arial" w:cs="Arial"/>
          <w:spacing w:val="-3"/>
          <w:sz w:val="24"/>
          <w:szCs w:val="24"/>
        </w:rPr>
      </w:pPr>
    </w:p>
    <w:p w14:paraId="2612A52D" w14:textId="76E14F72" w:rsidR="00D225A3" w:rsidRPr="00500810" w:rsidRDefault="004C5BFB">
      <w:pPr>
        <w:pStyle w:val="Header"/>
        <w:spacing w:line="276" w:lineRule="auto"/>
        <w:outlineLvl w:val="0"/>
        <w:rPr>
          <w:rFonts w:ascii="Arial" w:eastAsia="Times New Roman" w:hAnsi="Arial" w:cs="Arial"/>
          <w:spacing w:val="-3"/>
          <w:sz w:val="24"/>
          <w:szCs w:val="24"/>
        </w:rPr>
      </w:pPr>
      <w:r w:rsidRPr="00500810">
        <w:rPr>
          <w:rFonts w:ascii="Arial" w:eastAsia="Times New Roman" w:hAnsi="Arial" w:cs="Arial"/>
          <w:spacing w:val="-3"/>
          <w:sz w:val="24"/>
          <w:szCs w:val="24"/>
        </w:rPr>
        <w:t>(</w:t>
      </w:r>
      <w:r w:rsidR="00540975" w:rsidRPr="00500810">
        <w:rPr>
          <w:rFonts w:ascii="Arial" w:eastAsia="Times New Roman" w:hAnsi="Arial" w:cs="Arial"/>
          <w:spacing w:val="-3"/>
          <w:sz w:val="24"/>
          <w:szCs w:val="24"/>
        </w:rPr>
        <w:t>e.g.</w:t>
      </w:r>
      <w:r w:rsidRPr="00500810">
        <w:rPr>
          <w:rFonts w:ascii="Arial" w:eastAsia="Times New Roman" w:hAnsi="Arial" w:cs="Arial"/>
          <w:spacing w:val="-3"/>
          <w:sz w:val="24"/>
          <w:szCs w:val="24"/>
        </w:rPr>
        <w:t>, Emergency Medical Services</w:t>
      </w:r>
      <w:r w:rsidR="00A955A6" w:rsidRPr="00500810">
        <w:rPr>
          <w:rFonts w:ascii="Arial" w:eastAsia="Times New Roman" w:hAnsi="Arial" w:cs="Arial"/>
          <w:spacing w:val="-3"/>
          <w:sz w:val="24"/>
          <w:szCs w:val="24"/>
        </w:rPr>
        <w:t xml:space="preserve"> [EMS]</w:t>
      </w:r>
      <w:r w:rsidRPr="00500810">
        <w:rPr>
          <w:rFonts w:ascii="Arial" w:eastAsia="Times New Roman" w:hAnsi="Arial" w:cs="Arial"/>
          <w:spacing w:val="-3"/>
          <w:sz w:val="24"/>
          <w:szCs w:val="24"/>
        </w:rPr>
        <w:t xml:space="preserve"> provider, Fire, Law E</w:t>
      </w:r>
      <w:r w:rsidR="005C4ABD" w:rsidRPr="00500810">
        <w:rPr>
          <w:rFonts w:ascii="Arial" w:eastAsia="Times New Roman" w:hAnsi="Arial" w:cs="Arial"/>
          <w:spacing w:val="-3"/>
          <w:sz w:val="24"/>
          <w:szCs w:val="24"/>
        </w:rPr>
        <w:t>nforcement)</w:t>
      </w:r>
    </w:p>
    <w:p w14:paraId="3457806C" w14:textId="79F0B6ED" w:rsidR="005C4ABD" w:rsidRPr="00500810" w:rsidRDefault="00500810" w:rsidP="00500810">
      <w:pPr>
        <w:pStyle w:val="Header"/>
        <w:tabs>
          <w:tab w:val="left" w:pos="1305"/>
        </w:tabs>
        <w:spacing w:line="276" w:lineRule="auto"/>
        <w:outlineLvl w:val="0"/>
        <w:rPr>
          <w:rFonts w:ascii="Arial" w:eastAsia="Times New Roman" w:hAnsi="Arial" w:cs="Arial"/>
          <w:i/>
          <w:spacing w:val="-3"/>
          <w:sz w:val="24"/>
          <w:szCs w:val="24"/>
        </w:rPr>
      </w:pPr>
      <w:r w:rsidRPr="00500810">
        <w:rPr>
          <w:rFonts w:ascii="Arial" w:eastAsia="Times New Roman" w:hAnsi="Arial" w:cs="Arial"/>
          <w:i/>
          <w:spacing w:val="-3"/>
          <w:sz w:val="24"/>
          <w:szCs w:val="24"/>
        </w:rPr>
        <w:tab/>
      </w:r>
      <w:r w:rsidRPr="00500810">
        <w:rPr>
          <w:rFonts w:ascii="Arial" w:eastAsia="Times New Roman" w:hAnsi="Arial" w:cs="Arial"/>
          <w:i/>
          <w:spacing w:val="-3"/>
          <w:sz w:val="24"/>
          <w:szCs w:val="24"/>
        </w:rPr>
        <w:tab/>
      </w:r>
    </w:p>
    <w:p w14:paraId="7FD1F9BD" w14:textId="6E5CF379" w:rsidR="00252C14" w:rsidRPr="00A446A1" w:rsidRDefault="00252C14" w:rsidP="00A446A1">
      <w:pPr>
        <w:pStyle w:val="Header"/>
        <w:spacing w:line="276" w:lineRule="auto"/>
        <w:outlineLvl w:val="0"/>
        <w:rPr>
          <w:rFonts w:ascii="Arial" w:eastAsia="Cambria" w:hAnsi="Arial" w:cs="Arial"/>
          <w:i/>
          <w:color w:val="000000"/>
          <w:sz w:val="24"/>
          <w:szCs w:val="24"/>
        </w:rPr>
      </w:pPr>
      <w:r w:rsidRPr="00A446A1">
        <w:rPr>
          <w:rFonts w:ascii="Arial" w:eastAsia="Cambria" w:hAnsi="Arial" w:cs="Arial"/>
          <w:b/>
          <w:color w:val="000000"/>
          <w:sz w:val="24"/>
          <w:szCs w:val="24"/>
          <w:highlight w:val="lightGray"/>
        </w:rPr>
        <w:t>How To Use This Document:</w:t>
      </w:r>
      <w:r w:rsidR="00B060AB" w:rsidRPr="00A446A1">
        <w:rPr>
          <w:rFonts w:ascii="Arial" w:eastAsia="Cambria" w:hAnsi="Arial" w:cs="Arial"/>
          <w:i/>
          <w:color w:val="000000"/>
          <w:sz w:val="24"/>
          <w:szCs w:val="24"/>
          <w:highlight w:val="lightGray"/>
        </w:rPr>
        <w:t xml:space="preserve"> </w:t>
      </w:r>
      <w:r w:rsidRPr="00A446A1">
        <w:rPr>
          <w:rFonts w:ascii="Arial" w:eastAsia="Cambria" w:hAnsi="Arial" w:cs="Arial"/>
          <w:i/>
          <w:color w:val="000000"/>
          <w:sz w:val="24"/>
          <w:szCs w:val="24"/>
          <w:highlight w:val="lightGray"/>
        </w:rPr>
        <w:t xml:space="preserve">This document is provided to aid emergency managers from participating organizations/agencies/jurisdictions in assessing their level of preparedness in advance of the </w:t>
      </w:r>
      <w:r w:rsidR="00C010E6" w:rsidRPr="00A446A1">
        <w:rPr>
          <w:rFonts w:ascii="Arial" w:eastAsia="Cambria" w:hAnsi="Arial" w:cs="Arial"/>
          <w:i/>
          <w:color w:val="000000"/>
          <w:sz w:val="24"/>
          <w:szCs w:val="24"/>
          <w:highlight w:val="lightGray"/>
        </w:rPr>
        <w:t xml:space="preserve">[insert year] </w:t>
      </w:r>
      <w:r w:rsidRPr="00A446A1">
        <w:rPr>
          <w:rFonts w:ascii="Arial" w:eastAsia="Cambria" w:hAnsi="Arial" w:cs="Arial"/>
          <w:i/>
          <w:color w:val="000000"/>
          <w:sz w:val="24"/>
          <w:szCs w:val="24"/>
          <w:highlight w:val="lightGray"/>
        </w:rPr>
        <w:t>Statewide Medical and Health Exercise</w:t>
      </w:r>
      <w:r w:rsidR="00CF6174" w:rsidRPr="00A446A1">
        <w:rPr>
          <w:rFonts w:ascii="Arial" w:eastAsia="Cambria" w:hAnsi="Arial" w:cs="Arial"/>
          <w:i/>
          <w:color w:val="000000"/>
          <w:sz w:val="24"/>
          <w:szCs w:val="24"/>
          <w:highlight w:val="lightGray"/>
        </w:rPr>
        <w:t xml:space="preserve"> (SWMHE)</w:t>
      </w:r>
      <w:r w:rsidRPr="00A446A1">
        <w:rPr>
          <w:rFonts w:ascii="Arial" w:eastAsia="Cambria" w:hAnsi="Arial" w:cs="Arial"/>
          <w:i/>
          <w:color w:val="000000"/>
          <w:sz w:val="24"/>
          <w:szCs w:val="24"/>
          <w:highlight w:val="lightGray"/>
        </w:rPr>
        <w:t>. For each metric, there are five columns to provide a response: Completed, In Progress, Not Started, Not Applicable (</w:t>
      </w:r>
      <w:r w:rsidR="00ED2E72" w:rsidRPr="00A446A1">
        <w:rPr>
          <w:rFonts w:ascii="Arial" w:eastAsia="Cambria" w:hAnsi="Arial" w:cs="Arial"/>
          <w:i/>
          <w:color w:val="000000"/>
          <w:sz w:val="24"/>
          <w:szCs w:val="24"/>
          <w:highlight w:val="lightGray"/>
        </w:rPr>
        <w:t>N/A</w:t>
      </w:r>
      <w:r w:rsidRPr="00A446A1">
        <w:rPr>
          <w:rFonts w:ascii="Arial" w:eastAsia="Cambria" w:hAnsi="Arial" w:cs="Arial"/>
          <w:i/>
          <w:color w:val="000000"/>
          <w:sz w:val="24"/>
          <w:szCs w:val="24"/>
          <w:highlight w:val="lightGray"/>
        </w:rPr>
        <w:t>)</w:t>
      </w:r>
      <w:r w:rsidR="00EC7FF4" w:rsidRPr="00A446A1">
        <w:rPr>
          <w:rFonts w:ascii="Arial" w:eastAsia="Cambria" w:hAnsi="Arial" w:cs="Arial"/>
          <w:i/>
          <w:color w:val="000000"/>
          <w:sz w:val="24"/>
          <w:szCs w:val="24"/>
          <w:highlight w:val="lightGray"/>
        </w:rPr>
        <w:t xml:space="preserve">, and Grant Requirements Satisfied (e.g., </w:t>
      </w:r>
      <w:r w:rsidR="00F566DF" w:rsidRPr="00A446A1">
        <w:rPr>
          <w:rFonts w:ascii="Arial" w:eastAsia="Cambria" w:hAnsi="Arial" w:cs="Arial"/>
          <w:i/>
          <w:color w:val="000000"/>
          <w:sz w:val="24"/>
          <w:szCs w:val="24"/>
          <w:highlight w:val="lightGray"/>
        </w:rPr>
        <w:t>Hazard Mitigation Grant Program</w:t>
      </w:r>
      <w:r w:rsidR="00EC7FF4" w:rsidRPr="00A446A1">
        <w:rPr>
          <w:rFonts w:ascii="Arial" w:eastAsia="Cambria" w:hAnsi="Arial" w:cs="Arial"/>
          <w:i/>
          <w:color w:val="000000"/>
          <w:sz w:val="24"/>
          <w:szCs w:val="24"/>
          <w:highlight w:val="lightGray"/>
        </w:rPr>
        <w:t>, Homeland Security Grant Program, Urban Area</w:t>
      </w:r>
      <w:r w:rsidR="00CF6174" w:rsidRPr="00A446A1">
        <w:rPr>
          <w:rFonts w:ascii="Arial" w:eastAsia="Cambria" w:hAnsi="Arial" w:cs="Arial"/>
          <w:i/>
          <w:color w:val="000000"/>
          <w:sz w:val="24"/>
          <w:szCs w:val="24"/>
          <w:highlight w:val="lightGray"/>
        </w:rPr>
        <w:t>s</w:t>
      </w:r>
      <w:r w:rsidR="00EC7FF4" w:rsidRPr="00A446A1">
        <w:rPr>
          <w:rFonts w:ascii="Arial" w:eastAsia="Cambria" w:hAnsi="Arial" w:cs="Arial"/>
          <w:i/>
          <w:color w:val="000000"/>
          <w:sz w:val="24"/>
          <w:szCs w:val="24"/>
          <w:highlight w:val="lightGray"/>
        </w:rPr>
        <w:t xml:space="preserve"> Security Initiative, etc.)</w:t>
      </w:r>
      <w:r w:rsidRPr="00A446A1">
        <w:rPr>
          <w:rFonts w:ascii="Arial" w:eastAsia="Cambria" w:hAnsi="Arial" w:cs="Arial"/>
          <w:i/>
          <w:color w:val="000000"/>
          <w:sz w:val="24"/>
          <w:szCs w:val="24"/>
          <w:highlight w:val="lightGray"/>
        </w:rPr>
        <w:t>.</w:t>
      </w:r>
      <w:r w:rsidR="00DC6D3F" w:rsidRPr="00A446A1">
        <w:rPr>
          <w:rFonts w:ascii="Arial" w:eastAsia="Cambria" w:hAnsi="Arial" w:cs="Arial"/>
          <w:i/>
          <w:color w:val="000000"/>
          <w:sz w:val="24"/>
          <w:szCs w:val="24"/>
          <w:highlight w:val="lightGray"/>
        </w:rPr>
        <w:t xml:space="preserve"> </w:t>
      </w:r>
      <w:r w:rsidRPr="00A446A1">
        <w:rPr>
          <w:rFonts w:ascii="Arial" w:eastAsia="Cambria" w:hAnsi="Arial" w:cs="Arial"/>
          <w:i/>
          <w:color w:val="000000"/>
          <w:sz w:val="24"/>
          <w:szCs w:val="24"/>
          <w:highlight w:val="lightGray"/>
        </w:rPr>
        <w:t xml:space="preserve">The column to track satisfied grant requirements emphasizes that a goal of some participants might be to utilize the exercise </w:t>
      </w:r>
      <w:proofErr w:type="gramStart"/>
      <w:r w:rsidRPr="00A446A1">
        <w:rPr>
          <w:rFonts w:ascii="Arial" w:eastAsia="Cambria" w:hAnsi="Arial" w:cs="Arial"/>
          <w:i/>
          <w:color w:val="000000"/>
          <w:sz w:val="24"/>
          <w:szCs w:val="24"/>
          <w:highlight w:val="lightGray"/>
        </w:rPr>
        <w:t>in or</w:t>
      </w:r>
      <w:r w:rsidR="00284F0C" w:rsidRPr="00A446A1">
        <w:rPr>
          <w:rFonts w:ascii="Arial" w:eastAsia="Cambria" w:hAnsi="Arial" w:cs="Arial"/>
          <w:i/>
          <w:color w:val="000000"/>
          <w:sz w:val="24"/>
          <w:szCs w:val="24"/>
          <w:highlight w:val="lightGray"/>
        </w:rPr>
        <w:t>der to</w:t>
      </w:r>
      <w:proofErr w:type="gramEnd"/>
      <w:r w:rsidR="00284F0C" w:rsidRPr="00A446A1">
        <w:rPr>
          <w:rFonts w:ascii="Arial" w:eastAsia="Cambria" w:hAnsi="Arial" w:cs="Arial"/>
          <w:i/>
          <w:color w:val="000000"/>
          <w:sz w:val="24"/>
          <w:szCs w:val="24"/>
          <w:highlight w:val="lightGray"/>
        </w:rPr>
        <w:t xml:space="preserve"> satisfy applicable grant requirements</w:t>
      </w:r>
      <w:r w:rsidRPr="00A446A1">
        <w:rPr>
          <w:rFonts w:ascii="Arial" w:eastAsia="Cambria" w:hAnsi="Arial" w:cs="Arial"/>
          <w:i/>
          <w:color w:val="000000"/>
          <w:sz w:val="24"/>
          <w:szCs w:val="24"/>
          <w:highlight w:val="lightGray"/>
        </w:rPr>
        <w:t xml:space="preserve">. It in no way represents a required field on behalf of the California Department of Public Health (CDPH) or the Emergency Medical Services </w:t>
      </w:r>
      <w:r w:rsidR="00D16DB0" w:rsidRPr="00A446A1">
        <w:rPr>
          <w:rFonts w:ascii="Arial" w:eastAsia="Cambria" w:hAnsi="Arial" w:cs="Arial"/>
          <w:i/>
          <w:color w:val="000000"/>
          <w:sz w:val="24"/>
          <w:szCs w:val="24"/>
          <w:highlight w:val="lightGray"/>
        </w:rPr>
        <w:t xml:space="preserve">Authority </w:t>
      </w:r>
      <w:r w:rsidRPr="00A446A1">
        <w:rPr>
          <w:rFonts w:ascii="Arial" w:eastAsia="Cambria" w:hAnsi="Arial" w:cs="Arial"/>
          <w:i/>
          <w:color w:val="000000"/>
          <w:sz w:val="24"/>
          <w:szCs w:val="24"/>
          <w:highlight w:val="lightGray"/>
        </w:rPr>
        <w:t xml:space="preserve">(EMSA), but </w:t>
      </w:r>
      <w:r w:rsidRPr="00A446A1">
        <w:rPr>
          <w:rFonts w:ascii="Arial" w:eastAsia="Cambria" w:hAnsi="Arial" w:cs="Arial"/>
          <w:b/>
          <w:i/>
          <w:color w:val="000000"/>
          <w:sz w:val="24"/>
          <w:szCs w:val="24"/>
          <w:highlight w:val="lightGray"/>
        </w:rPr>
        <w:t>is an optional value add for the convenience of the participant</w:t>
      </w:r>
      <w:r w:rsidRPr="00A446A1">
        <w:rPr>
          <w:rFonts w:ascii="Arial" w:eastAsia="Cambria" w:hAnsi="Arial" w:cs="Arial"/>
          <w:i/>
          <w:color w:val="000000"/>
          <w:sz w:val="24"/>
          <w:szCs w:val="24"/>
          <w:highlight w:val="lightGray"/>
        </w:rPr>
        <w:t xml:space="preserve"> that allows the self-assessment to also function as a tool for </w:t>
      </w:r>
      <w:r w:rsidR="000A087F" w:rsidRPr="00A446A1">
        <w:rPr>
          <w:rFonts w:ascii="Arial" w:eastAsia="Cambria" w:hAnsi="Arial" w:cs="Arial"/>
          <w:i/>
          <w:color w:val="000000"/>
          <w:sz w:val="24"/>
          <w:szCs w:val="24"/>
          <w:highlight w:val="lightGray"/>
        </w:rPr>
        <w:t>preparing</w:t>
      </w:r>
      <w:r w:rsidRPr="00A446A1">
        <w:rPr>
          <w:rFonts w:ascii="Arial" w:eastAsia="Cambria" w:hAnsi="Arial" w:cs="Arial"/>
          <w:i/>
          <w:color w:val="000000"/>
          <w:sz w:val="24"/>
          <w:szCs w:val="24"/>
          <w:highlight w:val="lightGray"/>
        </w:rPr>
        <w:t xml:space="preserve"> any grant reports. Participants are encouraged to use this document as a starting point towards a more detailed analysis of their organization’s gaps in preparedness.</w:t>
      </w:r>
    </w:p>
    <w:p w14:paraId="73794E5A" w14:textId="77777777" w:rsidR="00D8072D" w:rsidRPr="00500810" w:rsidRDefault="00D8072D">
      <w:pPr>
        <w:pStyle w:val="Header"/>
        <w:spacing w:line="276" w:lineRule="auto"/>
        <w:outlineLvl w:val="0"/>
        <w:rPr>
          <w:rFonts w:ascii="Arial" w:hAnsi="Arial"/>
          <w:b/>
          <w:sz w:val="24"/>
          <w:szCs w:val="24"/>
        </w:rPr>
      </w:pPr>
    </w:p>
    <w:tbl>
      <w:tblPr>
        <w:tblStyle w:val="TableGrid"/>
        <w:tblW w:w="13165" w:type="dxa"/>
        <w:tblLook w:val="04A0" w:firstRow="1" w:lastRow="0" w:firstColumn="1" w:lastColumn="0" w:noHBand="0" w:noVBand="1"/>
        <w:tblCaption w:val="Mitigation and Preparedness"/>
        <w:tblDescription w:val="This checklist table lists preparatory actions that can be taken by a public safety organization to evaluate the effectiveness of their emergency management program. "/>
      </w:tblPr>
      <w:tblGrid>
        <w:gridCol w:w="6590"/>
        <w:gridCol w:w="1457"/>
        <w:gridCol w:w="1257"/>
        <w:gridCol w:w="1052"/>
        <w:gridCol w:w="992"/>
        <w:gridCol w:w="1817"/>
      </w:tblGrid>
      <w:tr w:rsidR="009E3A9E" w:rsidRPr="008A7E4F" w14:paraId="02990A4B" w14:textId="5F9FA0BE" w:rsidTr="00500810">
        <w:trPr>
          <w:trHeight w:val="512"/>
          <w:tblHeader/>
        </w:trPr>
        <w:tc>
          <w:tcPr>
            <w:tcW w:w="6590" w:type="dxa"/>
            <w:shd w:val="clear" w:color="auto" w:fill="002060"/>
          </w:tcPr>
          <w:p w14:paraId="0FBFC1D1" w14:textId="245EB041" w:rsidR="004D586B" w:rsidRPr="00500810" w:rsidRDefault="00A446A1" w:rsidP="00500810">
            <w:pPr>
              <w:spacing w:before="120" w:after="120" w:line="240" w:lineRule="auto"/>
              <w:rPr>
                <w:rFonts w:ascii="Arial" w:eastAsiaTheme="majorEastAsia" w:hAnsi="Arial" w:cs="Arial"/>
                <w:b/>
                <w:bCs/>
                <w:i/>
                <w:iCs/>
                <w:color w:val="FFFFFF"/>
                <w:sz w:val="24"/>
                <w:szCs w:val="24"/>
              </w:rPr>
            </w:pPr>
            <w:r w:rsidRPr="00500810">
              <w:rPr>
                <w:rFonts w:ascii="Arial" w:hAnsi="Arial" w:cs="Arial"/>
                <w:b/>
                <w:color w:val="FFFFFF"/>
                <w:sz w:val="24"/>
                <w:szCs w:val="24"/>
              </w:rPr>
              <w:t>I. Mitigation and Preparedness</w:t>
            </w:r>
          </w:p>
        </w:tc>
        <w:tc>
          <w:tcPr>
            <w:tcW w:w="1457" w:type="dxa"/>
            <w:shd w:val="clear" w:color="auto" w:fill="002060"/>
          </w:tcPr>
          <w:p w14:paraId="730B8242" w14:textId="4C18EC63" w:rsidR="004D586B" w:rsidRPr="00500810" w:rsidRDefault="004D586B" w:rsidP="00500810">
            <w:pPr>
              <w:spacing w:before="100" w:after="100" w:line="240" w:lineRule="auto"/>
              <w:rPr>
                <w:rFonts w:ascii="Arial" w:hAnsi="Arial" w:cs="Arial"/>
                <w:b/>
                <w:color w:val="FFFFFF"/>
                <w:sz w:val="24"/>
                <w:szCs w:val="24"/>
              </w:rPr>
            </w:pPr>
            <w:r w:rsidRPr="00500810">
              <w:rPr>
                <w:rFonts w:ascii="Arial" w:hAnsi="Arial" w:cs="Arial"/>
                <w:b/>
                <w:color w:val="FFFFFF"/>
                <w:sz w:val="24"/>
                <w:szCs w:val="24"/>
              </w:rPr>
              <w:t>Completed</w:t>
            </w:r>
          </w:p>
        </w:tc>
        <w:tc>
          <w:tcPr>
            <w:tcW w:w="1257" w:type="dxa"/>
            <w:shd w:val="clear" w:color="auto" w:fill="002060"/>
          </w:tcPr>
          <w:p w14:paraId="1B9105C1" w14:textId="77777777" w:rsidR="004D586B" w:rsidRPr="00500810" w:rsidRDefault="004D586B" w:rsidP="00500810">
            <w:pPr>
              <w:spacing w:after="0" w:line="240" w:lineRule="auto"/>
              <w:rPr>
                <w:rFonts w:ascii="Arial" w:hAnsi="Arial" w:cs="Arial"/>
                <w:b/>
                <w:color w:val="FFFFFF"/>
                <w:sz w:val="24"/>
                <w:szCs w:val="24"/>
              </w:rPr>
            </w:pPr>
            <w:r w:rsidRPr="00500810">
              <w:rPr>
                <w:rFonts w:ascii="Arial" w:hAnsi="Arial" w:cs="Arial"/>
                <w:b/>
                <w:color w:val="FFFFFF"/>
                <w:sz w:val="24"/>
                <w:szCs w:val="24"/>
              </w:rPr>
              <w:t>In Progress</w:t>
            </w:r>
          </w:p>
        </w:tc>
        <w:tc>
          <w:tcPr>
            <w:tcW w:w="1052" w:type="dxa"/>
            <w:shd w:val="clear" w:color="auto" w:fill="002060"/>
          </w:tcPr>
          <w:p w14:paraId="382F8351" w14:textId="77777777" w:rsidR="004D586B" w:rsidRPr="00500810" w:rsidRDefault="004D586B" w:rsidP="00500810">
            <w:pPr>
              <w:spacing w:after="0" w:line="240" w:lineRule="auto"/>
              <w:rPr>
                <w:rFonts w:ascii="Arial" w:hAnsi="Arial" w:cs="Arial"/>
                <w:b/>
                <w:color w:val="FFFFFF"/>
                <w:sz w:val="24"/>
                <w:szCs w:val="24"/>
              </w:rPr>
            </w:pPr>
            <w:r w:rsidRPr="00500810">
              <w:rPr>
                <w:rFonts w:ascii="Arial" w:hAnsi="Arial" w:cs="Arial"/>
                <w:b/>
                <w:color w:val="FFFFFF"/>
                <w:sz w:val="24"/>
                <w:szCs w:val="24"/>
              </w:rPr>
              <w:t xml:space="preserve">Not </w:t>
            </w:r>
          </w:p>
          <w:p w14:paraId="2596869F" w14:textId="7331776A" w:rsidR="004D586B" w:rsidRPr="00500810" w:rsidRDefault="004D586B" w:rsidP="00500810">
            <w:pPr>
              <w:spacing w:after="0" w:line="240" w:lineRule="auto"/>
              <w:rPr>
                <w:rFonts w:ascii="Arial" w:hAnsi="Arial" w:cs="Arial"/>
                <w:b/>
                <w:color w:val="FFFFFF"/>
                <w:sz w:val="24"/>
                <w:szCs w:val="24"/>
              </w:rPr>
            </w:pPr>
            <w:r w:rsidRPr="00500810">
              <w:rPr>
                <w:rFonts w:ascii="Arial" w:hAnsi="Arial" w:cs="Arial"/>
                <w:b/>
                <w:color w:val="FFFFFF"/>
                <w:sz w:val="24"/>
                <w:szCs w:val="24"/>
              </w:rPr>
              <w:t>Started</w:t>
            </w:r>
          </w:p>
        </w:tc>
        <w:tc>
          <w:tcPr>
            <w:tcW w:w="992" w:type="dxa"/>
            <w:shd w:val="clear" w:color="auto" w:fill="002060"/>
          </w:tcPr>
          <w:p w14:paraId="1AB73C82" w14:textId="77777777" w:rsidR="004D586B" w:rsidRPr="00500810" w:rsidRDefault="004D586B" w:rsidP="00500810">
            <w:pPr>
              <w:spacing w:after="0" w:line="240" w:lineRule="auto"/>
              <w:rPr>
                <w:rFonts w:ascii="Arial" w:hAnsi="Arial" w:cs="Arial"/>
                <w:b/>
                <w:color w:val="FFFFFF"/>
                <w:sz w:val="24"/>
                <w:szCs w:val="24"/>
              </w:rPr>
            </w:pPr>
            <w:r w:rsidRPr="00500810">
              <w:rPr>
                <w:rFonts w:ascii="Arial" w:hAnsi="Arial" w:cs="Arial"/>
                <w:b/>
                <w:color w:val="FFFFFF"/>
                <w:sz w:val="24"/>
                <w:szCs w:val="24"/>
              </w:rPr>
              <w:t>N/A</w:t>
            </w:r>
          </w:p>
        </w:tc>
        <w:tc>
          <w:tcPr>
            <w:tcW w:w="1817" w:type="dxa"/>
            <w:shd w:val="clear" w:color="auto" w:fill="002060"/>
          </w:tcPr>
          <w:p w14:paraId="30D4C405" w14:textId="77777777" w:rsidR="004D586B" w:rsidRPr="00500810" w:rsidRDefault="004D586B" w:rsidP="00500810">
            <w:pPr>
              <w:spacing w:after="0" w:line="240" w:lineRule="auto"/>
              <w:rPr>
                <w:rFonts w:ascii="Arial" w:hAnsi="Arial" w:cs="Arial"/>
                <w:b/>
                <w:color w:val="FFFFFF"/>
                <w:sz w:val="24"/>
                <w:szCs w:val="24"/>
              </w:rPr>
            </w:pPr>
            <w:r w:rsidRPr="00500810">
              <w:rPr>
                <w:rFonts w:ascii="Arial" w:hAnsi="Arial" w:cs="Arial"/>
                <w:b/>
                <w:color w:val="FFFFFF"/>
                <w:sz w:val="24"/>
                <w:szCs w:val="24"/>
              </w:rPr>
              <w:t>Grant</w:t>
            </w:r>
          </w:p>
          <w:p w14:paraId="1E63873A" w14:textId="6D70B9DF" w:rsidR="004D586B" w:rsidRPr="00500810" w:rsidRDefault="004D586B" w:rsidP="00500810">
            <w:pPr>
              <w:spacing w:after="0" w:line="240" w:lineRule="auto"/>
              <w:rPr>
                <w:rFonts w:ascii="Arial" w:hAnsi="Arial" w:cs="Arial"/>
                <w:b/>
                <w:color w:val="FFFFFF"/>
                <w:sz w:val="24"/>
                <w:szCs w:val="24"/>
              </w:rPr>
            </w:pPr>
            <w:r w:rsidRPr="00500810">
              <w:rPr>
                <w:rFonts w:ascii="Arial" w:hAnsi="Arial" w:cs="Arial"/>
                <w:b/>
                <w:color w:val="FFFFFF"/>
                <w:sz w:val="24"/>
                <w:szCs w:val="24"/>
              </w:rPr>
              <w:t>Requirements Satisfied</w:t>
            </w:r>
          </w:p>
        </w:tc>
      </w:tr>
      <w:tr w:rsidR="009E3A9E" w:rsidRPr="008A7E4F" w14:paraId="66C560A9" w14:textId="68C8BA58" w:rsidTr="00500810">
        <w:trPr>
          <w:trHeight w:val="976"/>
        </w:trPr>
        <w:tc>
          <w:tcPr>
            <w:tcW w:w="6590" w:type="dxa"/>
          </w:tcPr>
          <w:p w14:paraId="442C822A" w14:textId="4F0056F5" w:rsidR="004D586B" w:rsidRPr="00500810" w:rsidRDefault="004D586B" w:rsidP="00500810">
            <w:pPr>
              <w:pStyle w:val="ColorfulShading-Accent31"/>
              <w:numPr>
                <w:ilvl w:val="0"/>
                <w:numId w:val="6"/>
              </w:numPr>
              <w:spacing w:line="276" w:lineRule="auto"/>
              <w:ind w:left="360"/>
              <w:rPr>
                <w:rFonts w:ascii="Arial" w:hAnsi="Arial" w:cs="Arial"/>
                <w:b/>
                <w:bCs/>
                <w:i/>
                <w:iCs/>
                <w:color w:val="243F60" w:themeColor="accent1" w:themeShade="7F"/>
                <w:sz w:val="24"/>
              </w:rPr>
            </w:pPr>
            <w:r w:rsidRPr="00500810">
              <w:rPr>
                <w:rFonts w:ascii="Arial" w:hAnsi="Arial" w:cs="Arial"/>
                <w:sz w:val="24"/>
              </w:rPr>
              <w:t xml:space="preserve">The organization/agency has an Emergency Operations Plan (EOP), </w:t>
            </w:r>
            <w:r w:rsidR="00737F59" w:rsidRPr="00500810">
              <w:rPr>
                <w:rFonts w:ascii="Arial" w:hAnsi="Arial" w:cs="Arial"/>
                <w:sz w:val="24"/>
              </w:rPr>
              <w:t xml:space="preserve">policies, </w:t>
            </w:r>
            <w:r w:rsidR="0058764C" w:rsidRPr="00500810">
              <w:rPr>
                <w:rFonts w:ascii="Arial" w:hAnsi="Arial" w:cs="Arial"/>
                <w:sz w:val="24"/>
              </w:rPr>
              <w:t xml:space="preserve">and </w:t>
            </w:r>
            <w:r w:rsidRPr="00500810">
              <w:rPr>
                <w:rFonts w:ascii="Arial" w:hAnsi="Arial" w:cs="Arial"/>
                <w:sz w:val="24"/>
              </w:rPr>
              <w:t>procedures to activate the EOP</w:t>
            </w:r>
            <w:r w:rsidR="0058764C" w:rsidRPr="00500810">
              <w:rPr>
                <w:rFonts w:ascii="Arial" w:hAnsi="Arial" w:cs="Arial"/>
                <w:sz w:val="24"/>
              </w:rPr>
              <w:t xml:space="preserve"> </w:t>
            </w:r>
            <w:r w:rsidRPr="00500810">
              <w:rPr>
                <w:rFonts w:ascii="Arial" w:hAnsi="Arial" w:cs="Arial"/>
                <w:sz w:val="24"/>
              </w:rPr>
              <w:t xml:space="preserve">that detail response and recovery </w:t>
            </w:r>
            <w:r w:rsidR="005B1400" w:rsidRPr="00500810">
              <w:rPr>
                <w:rFonts w:ascii="Arial" w:hAnsi="Arial" w:cs="Arial"/>
                <w:sz w:val="24"/>
              </w:rPr>
              <w:t xml:space="preserve">protocols for </w:t>
            </w:r>
            <w:proofErr w:type="gramStart"/>
            <w:r w:rsidR="005B1400" w:rsidRPr="00500810">
              <w:rPr>
                <w:rFonts w:ascii="Arial" w:hAnsi="Arial" w:cs="Arial"/>
                <w:sz w:val="24"/>
              </w:rPr>
              <w:t>a number of</w:t>
            </w:r>
            <w:proofErr w:type="gramEnd"/>
            <w:r w:rsidR="005B1400" w:rsidRPr="00500810">
              <w:rPr>
                <w:rFonts w:ascii="Arial" w:hAnsi="Arial" w:cs="Arial"/>
                <w:sz w:val="24"/>
              </w:rPr>
              <w:t xml:space="preserve"> potential hazards</w:t>
            </w:r>
          </w:p>
        </w:tc>
        <w:tc>
          <w:tcPr>
            <w:tcW w:w="1457" w:type="dxa"/>
          </w:tcPr>
          <w:p w14:paraId="2764024C" w14:textId="117F2E71" w:rsidR="004D586B"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57" w:type="dxa"/>
          </w:tcPr>
          <w:p w14:paraId="42B8DCC6" w14:textId="523FFC7E" w:rsidR="004D586B"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52" w:type="dxa"/>
          </w:tcPr>
          <w:p w14:paraId="48FA767D" w14:textId="7BC65DDD" w:rsidR="004D586B"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92" w:type="dxa"/>
          </w:tcPr>
          <w:p w14:paraId="4BA07C17" w14:textId="040BDD4D" w:rsidR="004D586B"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17" w:type="dxa"/>
          </w:tcPr>
          <w:p w14:paraId="2E1944D6" w14:textId="31DF9CA0" w:rsidR="004D586B"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6EB5A41D" w14:textId="0FAC3150" w:rsidTr="00500810">
        <w:trPr>
          <w:trHeight w:val="720"/>
        </w:trPr>
        <w:tc>
          <w:tcPr>
            <w:tcW w:w="6590" w:type="dxa"/>
          </w:tcPr>
          <w:p w14:paraId="3D1A1939" w14:textId="5B14D25D" w:rsidR="00500810" w:rsidRPr="00500810" w:rsidRDefault="00500810" w:rsidP="00500810">
            <w:pPr>
              <w:pStyle w:val="ColorfulShading-Accent31"/>
              <w:numPr>
                <w:ilvl w:val="0"/>
                <w:numId w:val="6"/>
              </w:numPr>
              <w:spacing w:line="276" w:lineRule="auto"/>
              <w:ind w:left="360"/>
              <w:rPr>
                <w:rFonts w:ascii="Arial" w:hAnsi="Arial" w:cs="Arial"/>
                <w:b/>
                <w:bCs/>
                <w:i/>
                <w:iCs/>
                <w:color w:val="404040" w:themeColor="text1" w:themeTint="BF"/>
                <w:spacing w:val="-3"/>
                <w:sz w:val="24"/>
              </w:rPr>
            </w:pPr>
            <w:r w:rsidRPr="00500810">
              <w:rPr>
                <w:rFonts w:ascii="Arial" w:hAnsi="Arial" w:cs="Arial"/>
                <w:spacing w:val="-3"/>
                <w:sz w:val="24"/>
              </w:rPr>
              <w:t xml:space="preserve">Appropriate organization/agency personnel have received Standardized Emergency Management System (SEMS), National Incident Management System (NIMS), and </w:t>
            </w:r>
            <w:r w:rsidRPr="00500810">
              <w:rPr>
                <w:rFonts w:ascii="Arial" w:hAnsi="Arial" w:cs="Arial"/>
                <w:spacing w:val="-3"/>
                <w:sz w:val="24"/>
              </w:rPr>
              <w:lastRenderedPageBreak/>
              <w:t>Incident Command System (ICS) training and are provided regular refresher training to maintain acceptable levels of proficiency</w:t>
            </w:r>
          </w:p>
        </w:tc>
        <w:tc>
          <w:tcPr>
            <w:tcW w:w="1457" w:type="dxa"/>
          </w:tcPr>
          <w:p w14:paraId="02D46B7E" w14:textId="4772ADAD"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lastRenderedPageBreak/>
              <w:t>Blank</w:t>
            </w:r>
          </w:p>
        </w:tc>
        <w:tc>
          <w:tcPr>
            <w:tcW w:w="1257" w:type="dxa"/>
          </w:tcPr>
          <w:p w14:paraId="2A2C7E37" w14:textId="157DA396"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52" w:type="dxa"/>
          </w:tcPr>
          <w:p w14:paraId="07F2DBBA" w14:textId="0FF96DE3"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92" w:type="dxa"/>
          </w:tcPr>
          <w:p w14:paraId="0AE42D97" w14:textId="6EF96060"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17" w:type="dxa"/>
          </w:tcPr>
          <w:p w14:paraId="36E5D0E5" w14:textId="6FF32494"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5637182C" w14:textId="3CE715F8" w:rsidTr="00500810">
        <w:trPr>
          <w:trHeight w:val="720"/>
        </w:trPr>
        <w:tc>
          <w:tcPr>
            <w:tcW w:w="6590" w:type="dxa"/>
          </w:tcPr>
          <w:p w14:paraId="2C8BD5E8" w14:textId="3F0EB905" w:rsidR="00500810" w:rsidRPr="00500810" w:rsidRDefault="00500810" w:rsidP="00500810">
            <w:pPr>
              <w:pStyle w:val="ColorfulShading-Accent31"/>
              <w:numPr>
                <w:ilvl w:val="0"/>
                <w:numId w:val="6"/>
              </w:numPr>
              <w:spacing w:line="276" w:lineRule="auto"/>
              <w:ind w:left="360"/>
              <w:rPr>
                <w:rFonts w:ascii="Arial" w:hAnsi="Arial" w:cs="Arial"/>
                <w:b/>
                <w:bCs/>
                <w:i/>
                <w:iCs/>
                <w:color w:val="243F60" w:themeColor="accent1" w:themeShade="7F"/>
                <w:spacing w:val="-3"/>
                <w:sz w:val="24"/>
              </w:rPr>
            </w:pPr>
            <w:r w:rsidRPr="00500810">
              <w:rPr>
                <w:rFonts w:ascii="Arial" w:hAnsi="Arial" w:cs="Arial"/>
                <w:spacing w:val="-3"/>
                <w:sz w:val="24"/>
              </w:rPr>
              <w:t>The organization/agency participates in pre-incident local response planning with other public safety officials, local emergency management officials, and appropriate public and private organizations, including meetings and conference calls to plan and share status</w:t>
            </w:r>
          </w:p>
        </w:tc>
        <w:tc>
          <w:tcPr>
            <w:tcW w:w="1457" w:type="dxa"/>
          </w:tcPr>
          <w:p w14:paraId="28DB139D" w14:textId="3B296F8B"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57" w:type="dxa"/>
          </w:tcPr>
          <w:p w14:paraId="778C43FA" w14:textId="3FA9017C"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52" w:type="dxa"/>
          </w:tcPr>
          <w:p w14:paraId="5B18B4C5" w14:textId="51AAD1A8"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92" w:type="dxa"/>
          </w:tcPr>
          <w:p w14:paraId="5DDBD995" w14:textId="2139EB2E"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17" w:type="dxa"/>
          </w:tcPr>
          <w:p w14:paraId="271C1907" w14:textId="460012AF"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14B21CFE" w14:textId="7EE98010" w:rsidTr="00500810">
        <w:trPr>
          <w:trHeight w:val="580"/>
        </w:trPr>
        <w:tc>
          <w:tcPr>
            <w:tcW w:w="6590" w:type="dxa"/>
          </w:tcPr>
          <w:p w14:paraId="1AA7312B" w14:textId="32DCC118" w:rsidR="00500810" w:rsidRPr="00500810" w:rsidRDefault="00500810" w:rsidP="00500810">
            <w:pPr>
              <w:pStyle w:val="ColorfulShading-Accent31"/>
              <w:numPr>
                <w:ilvl w:val="0"/>
                <w:numId w:val="6"/>
              </w:numPr>
              <w:spacing w:line="276" w:lineRule="auto"/>
              <w:ind w:left="360"/>
              <w:rPr>
                <w:rFonts w:ascii="Arial" w:hAnsi="Arial" w:cs="Arial"/>
                <w:b/>
                <w:bCs/>
                <w:i/>
                <w:iCs/>
                <w:color w:val="404040" w:themeColor="text1" w:themeTint="BF"/>
                <w:spacing w:val="-3"/>
                <w:sz w:val="24"/>
              </w:rPr>
            </w:pPr>
            <w:r w:rsidRPr="00500810">
              <w:rPr>
                <w:rFonts w:ascii="Arial" w:hAnsi="Arial" w:cs="Arial"/>
                <w:spacing w:val="-3"/>
                <w:sz w:val="24"/>
              </w:rPr>
              <w:t>The organization/agency has an Evacuation Plan with escape procedures and route assignments (e.g., floor plans, safe areas, reunification sites)</w:t>
            </w:r>
          </w:p>
        </w:tc>
        <w:tc>
          <w:tcPr>
            <w:tcW w:w="1457" w:type="dxa"/>
          </w:tcPr>
          <w:p w14:paraId="3756B3D4" w14:textId="2214F71C"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57" w:type="dxa"/>
          </w:tcPr>
          <w:p w14:paraId="143D9898" w14:textId="1958A49F"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52" w:type="dxa"/>
          </w:tcPr>
          <w:p w14:paraId="1A13CB20" w14:textId="78B02B1E"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92" w:type="dxa"/>
          </w:tcPr>
          <w:p w14:paraId="04643E2E" w14:textId="1973296B"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17" w:type="dxa"/>
          </w:tcPr>
          <w:p w14:paraId="1561435C" w14:textId="7208A9BC"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1AE2A894" w14:textId="4142FD57" w:rsidTr="00500810">
        <w:trPr>
          <w:trHeight w:val="720"/>
        </w:trPr>
        <w:tc>
          <w:tcPr>
            <w:tcW w:w="6590" w:type="dxa"/>
          </w:tcPr>
          <w:p w14:paraId="100EEB2F" w14:textId="59E88C1C" w:rsidR="00500810" w:rsidRPr="00500810" w:rsidRDefault="00500810" w:rsidP="00500810">
            <w:pPr>
              <w:pStyle w:val="ColorfulShading-Accent31"/>
              <w:numPr>
                <w:ilvl w:val="0"/>
                <w:numId w:val="6"/>
              </w:numPr>
              <w:spacing w:line="276" w:lineRule="auto"/>
              <w:ind w:left="360"/>
              <w:rPr>
                <w:rFonts w:ascii="Arial" w:hAnsi="Arial" w:cs="Arial"/>
                <w:b/>
                <w:bCs/>
                <w:i/>
                <w:iCs/>
                <w:color w:val="404040" w:themeColor="text1" w:themeTint="BF"/>
                <w:spacing w:val="-3"/>
                <w:sz w:val="24"/>
              </w:rPr>
            </w:pPr>
            <w:r w:rsidRPr="00500810">
              <w:rPr>
                <w:rFonts w:ascii="Arial" w:hAnsi="Arial" w:cs="Arial"/>
                <w:spacing w:val="-3"/>
                <w:sz w:val="24"/>
              </w:rPr>
              <w:t>Contact information for local response partners is verified/updated at least quarterly, and is available during a response</w:t>
            </w:r>
          </w:p>
        </w:tc>
        <w:tc>
          <w:tcPr>
            <w:tcW w:w="1457" w:type="dxa"/>
          </w:tcPr>
          <w:p w14:paraId="52084F4B" w14:textId="3CAA9654"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57" w:type="dxa"/>
          </w:tcPr>
          <w:p w14:paraId="23D6CDFC" w14:textId="7755D9F9"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52" w:type="dxa"/>
          </w:tcPr>
          <w:p w14:paraId="02A8F8F1" w14:textId="33980DE8"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92" w:type="dxa"/>
          </w:tcPr>
          <w:p w14:paraId="2762F877" w14:textId="6B5A5F36"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17" w:type="dxa"/>
          </w:tcPr>
          <w:p w14:paraId="7977D44A" w14:textId="050383F8"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2735FD7D" w14:textId="3E573D15" w:rsidTr="00500810">
        <w:trPr>
          <w:trHeight w:val="720"/>
        </w:trPr>
        <w:tc>
          <w:tcPr>
            <w:tcW w:w="6590" w:type="dxa"/>
          </w:tcPr>
          <w:p w14:paraId="0469FADA" w14:textId="4953F892" w:rsidR="00500810" w:rsidRPr="00500810" w:rsidRDefault="00500810" w:rsidP="00500810">
            <w:pPr>
              <w:pStyle w:val="ColorfulShading-Accent31"/>
              <w:numPr>
                <w:ilvl w:val="0"/>
                <w:numId w:val="6"/>
              </w:numPr>
              <w:spacing w:line="276" w:lineRule="auto"/>
              <w:ind w:left="360"/>
              <w:rPr>
                <w:rFonts w:ascii="Arial" w:hAnsi="Arial" w:cs="Arial"/>
                <w:b/>
                <w:bCs/>
                <w:i/>
                <w:iCs/>
                <w:color w:val="404040" w:themeColor="text1" w:themeTint="BF"/>
                <w:spacing w:val="-3"/>
                <w:sz w:val="24"/>
              </w:rPr>
            </w:pPr>
            <w:r w:rsidRPr="00500810">
              <w:rPr>
                <w:rFonts w:ascii="Arial" w:hAnsi="Arial" w:cs="Arial"/>
                <w:spacing w:val="-3"/>
                <w:sz w:val="24"/>
              </w:rPr>
              <w:t xml:space="preserve">The organization/agency has a Continuity Plan to activate during any business interruption that might occur due to the emergency </w:t>
            </w:r>
            <w:proofErr w:type="gramStart"/>
            <w:r w:rsidRPr="00500810">
              <w:rPr>
                <w:rFonts w:ascii="Arial" w:hAnsi="Arial" w:cs="Arial"/>
                <w:spacing w:val="-3"/>
                <w:sz w:val="24"/>
              </w:rPr>
              <w:t>event</w:t>
            </w:r>
            <w:proofErr w:type="gramEnd"/>
            <w:r w:rsidRPr="00500810">
              <w:rPr>
                <w:rFonts w:ascii="Arial" w:hAnsi="Arial" w:cs="Arial"/>
                <w:spacing w:val="-3"/>
                <w:sz w:val="24"/>
              </w:rPr>
              <w:t xml:space="preserve"> and it is reviewed and updated as needed at least annually</w:t>
            </w:r>
          </w:p>
        </w:tc>
        <w:tc>
          <w:tcPr>
            <w:tcW w:w="1457" w:type="dxa"/>
          </w:tcPr>
          <w:p w14:paraId="7414A8DB" w14:textId="5C194D79"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57" w:type="dxa"/>
          </w:tcPr>
          <w:p w14:paraId="579ED976" w14:textId="51BDFDDD"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52" w:type="dxa"/>
          </w:tcPr>
          <w:p w14:paraId="0409601C" w14:textId="00C0D823"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92" w:type="dxa"/>
          </w:tcPr>
          <w:p w14:paraId="76B8B649" w14:textId="013069D2"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17" w:type="dxa"/>
          </w:tcPr>
          <w:p w14:paraId="0797BAF8" w14:textId="39584C1F"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486CBD4B" w14:textId="2AE65112" w:rsidTr="00500810">
        <w:trPr>
          <w:trHeight w:val="539"/>
        </w:trPr>
        <w:tc>
          <w:tcPr>
            <w:tcW w:w="6590" w:type="dxa"/>
          </w:tcPr>
          <w:p w14:paraId="5D4A7EB3" w14:textId="3573D02E" w:rsidR="00500810" w:rsidRPr="00500810" w:rsidRDefault="00500810" w:rsidP="00500810">
            <w:pPr>
              <w:pStyle w:val="ColorfulShading-Accent31"/>
              <w:numPr>
                <w:ilvl w:val="0"/>
                <w:numId w:val="6"/>
              </w:numPr>
              <w:spacing w:line="276" w:lineRule="auto"/>
              <w:ind w:left="360"/>
              <w:rPr>
                <w:rFonts w:ascii="Arial" w:hAnsi="Arial" w:cs="Arial"/>
                <w:b/>
                <w:bCs/>
                <w:i/>
                <w:iCs/>
                <w:color w:val="404040" w:themeColor="text1" w:themeTint="BF"/>
                <w:spacing w:val="-3"/>
                <w:sz w:val="24"/>
              </w:rPr>
            </w:pPr>
            <w:r w:rsidRPr="00500810">
              <w:rPr>
                <w:rFonts w:ascii="Arial" w:hAnsi="Arial" w:cs="Arial"/>
                <w:spacing w:val="-3"/>
                <w:sz w:val="24"/>
              </w:rPr>
              <w:t xml:space="preserve">The organization/agency has identified staff to interact with the local response partners as needed, </w:t>
            </w:r>
            <w:proofErr w:type="gramStart"/>
            <w:r w:rsidRPr="00500810">
              <w:rPr>
                <w:rFonts w:ascii="Arial" w:hAnsi="Arial" w:cs="Arial"/>
                <w:spacing w:val="-3"/>
                <w:sz w:val="24"/>
              </w:rPr>
              <w:t>including:</w:t>
            </w:r>
            <w:proofErr w:type="gramEnd"/>
            <w:r w:rsidRPr="00500810">
              <w:rPr>
                <w:rFonts w:ascii="Arial" w:hAnsi="Arial" w:cs="Arial"/>
                <w:spacing w:val="-3"/>
                <w:sz w:val="24"/>
              </w:rPr>
              <w:t xml:space="preserve"> allied public safety agencies, health care providers, public health, Local Emergency Medical Services Agency (LEMSA), Emergency Operations Center (EOC), the Medical Health Operational Area Coordinator (MHOAC) Program, and local Office of Emergency Services (OES)</w:t>
            </w:r>
          </w:p>
        </w:tc>
        <w:tc>
          <w:tcPr>
            <w:tcW w:w="1457" w:type="dxa"/>
          </w:tcPr>
          <w:p w14:paraId="1BED6878" w14:textId="3678731F"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57" w:type="dxa"/>
          </w:tcPr>
          <w:p w14:paraId="7DCD9410" w14:textId="45E54F64"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52" w:type="dxa"/>
          </w:tcPr>
          <w:p w14:paraId="52B62D29" w14:textId="09239516"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92" w:type="dxa"/>
          </w:tcPr>
          <w:p w14:paraId="31EF67C5" w14:textId="351B13BB"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17" w:type="dxa"/>
          </w:tcPr>
          <w:p w14:paraId="236CE69E" w14:textId="6AD0C340"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699BAA64" w14:textId="66A76A59" w:rsidTr="00500810">
        <w:trPr>
          <w:trHeight w:val="720"/>
        </w:trPr>
        <w:tc>
          <w:tcPr>
            <w:tcW w:w="6590" w:type="dxa"/>
          </w:tcPr>
          <w:p w14:paraId="0EA6C017" w14:textId="37065811" w:rsidR="00500810" w:rsidRPr="00500810" w:rsidRDefault="00500810" w:rsidP="00500810">
            <w:pPr>
              <w:pStyle w:val="ColorfulShading-Accent31"/>
              <w:numPr>
                <w:ilvl w:val="0"/>
                <w:numId w:val="6"/>
              </w:numPr>
              <w:spacing w:line="276" w:lineRule="auto"/>
              <w:ind w:left="360"/>
              <w:rPr>
                <w:rFonts w:ascii="Arial" w:hAnsi="Arial" w:cs="Arial"/>
                <w:b/>
                <w:bCs/>
                <w:i/>
                <w:iCs/>
                <w:color w:val="404040" w:themeColor="text1" w:themeTint="BF"/>
                <w:spacing w:val="-3"/>
                <w:sz w:val="24"/>
              </w:rPr>
            </w:pPr>
            <w:r w:rsidRPr="00500810">
              <w:rPr>
                <w:rFonts w:ascii="Arial" w:hAnsi="Arial" w:cs="Arial"/>
                <w:spacing w:val="-3"/>
                <w:sz w:val="24"/>
              </w:rPr>
              <w:lastRenderedPageBreak/>
              <w:t>The organization/agency utilizes a Communication Plan and/or procedures to notify, maintain communications, and exchange appropriate information with staff, patients, family members, and volunteers</w:t>
            </w:r>
          </w:p>
        </w:tc>
        <w:tc>
          <w:tcPr>
            <w:tcW w:w="1457" w:type="dxa"/>
          </w:tcPr>
          <w:p w14:paraId="30FB9C26" w14:textId="2BB769E9" w:rsidR="00500810" w:rsidRPr="00500810" w:rsidRDefault="00500810" w:rsidP="00500810">
            <w:pPr>
              <w:spacing w:before="120" w:after="120" w:line="240" w:lineRule="auto"/>
              <w:rPr>
                <w:rFonts w:ascii="Arial" w:hAnsi="Arial" w:cs="Arial"/>
                <w:color w:val="FFFFFF" w:themeColor="background1"/>
                <w:sz w:val="24"/>
                <w:szCs w:val="24"/>
                <w:highlight w:val="yellow"/>
              </w:rPr>
            </w:pPr>
            <w:r w:rsidRPr="00500810">
              <w:rPr>
                <w:rFonts w:ascii="Arial" w:hAnsi="Arial" w:cs="Arial"/>
                <w:color w:val="FFFFFF" w:themeColor="background1"/>
                <w:sz w:val="24"/>
                <w:szCs w:val="24"/>
              </w:rPr>
              <w:t>Blank</w:t>
            </w:r>
          </w:p>
        </w:tc>
        <w:tc>
          <w:tcPr>
            <w:tcW w:w="1257" w:type="dxa"/>
          </w:tcPr>
          <w:p w14:paraId="3FA22C08" w14:textId="3666E1B1"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52" w:type="dxa"/>
          </w:tcPr>
          <w:p w14:paraId="4B7FFAA9" w14:textId="23ED192C"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92" w:type="dxa"/>
          </w:tcPr>
          <w:p w14:paraId="07BFF160" w14:textId="59EB669A"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17" w:type="dxa"/>
          </w:tcPr>
          <w:p w14:paraId="32354809" w14:textId="36CC15EF"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31DED890" w14:textId="218A5B37" w:rsidTr="00500810">
        <w:trPr>
          <w:trHeight w:val="720"/>
        </w:trPr>
        <w:tc>
          <w:tcPr>
            <w:tcW w:w="6590" w:type="dxa"/>
          </w:tcPr>
          <w:p w14:paraId="13E4B937" w14:textId="096D5879" w:rsidR="00500810" w:rsidRPr="00500810" w:rsidRDefault="00500810" w:rsidP="00500810">
            <w:pPr>
              <w:pStyle w:val="ColorfulShading-Accent31"/>
              <w:numPr>
                <w:ilvl w:val="0"/>
                <w:numId w:val="6"/>
              </w:numPr>
              <w:spacing w:line="276" w:lineRule="auto"/>
              <w:ind w:left="360"/>
              <w:rPr>
                <w:rFonts w:ascii="Arial" w:hAnsi="Arial" w:cs="Arial"/>
                <w:b/>
                <w:bCs/>
                <w:i/>
                <w:iCs/>
                <w:color w:val="404040" w:themeColor="text1" w:themeTint="BF"/>
                <w:spacing w:val="-3"/>
                <w:sz w:val="24"/>
              </w:rPr>
            </w:pPr>
            <w:r w:rsidRPr="00500810">
              <w:rPr>
                <w:rFonts w:ascii="Arial" w:hAnsi="Arial" w:cs="Arial"/>
                <w:spacing w:val="-3"/>
                <w:sz w:val="24"/>
              </w:rPr>
              <w:t xml:space="preserve">The organization/agency has designated staff to develop and maintain relationships with appropriate local stakeholders [e.g., public safety agencies, health care providers, community-based organizations (CBOs), faith-based organizations (FBOs), public health, LEMSA, local Emergency Management Department, the MHOAC, etc.] </w:t>
            </w:r>
            <w:proofErr w:type="gramStart"/>
            <w:r w:rsidRPr="00500810">
              <w:rPr>
                <w:rFonts w:ascii="Arial" w:hAnsi="Arial" w:cs="Arial"/>
                <w:spacing w:val="-3"/>
                <w:sz w:val="24"/>
              </w:rPr>
              <w:t>in order to</w:t>
            </w:r>
            <w:proofErr w:type="gramEnd"/>
            <w:r w:rsidRPr="00500810">
              <w:rPr>
                <w:rFonts w:ascii="Arial" w:hAnsi="Arial" w:cs="Arial"/>
                <w:spacing w:val="-3"/>
                <w:sz w:val="24"/>
              </w:rPr>
              <w:t xml:space="preserve"> build more efficient, effective, and resilient networks prior to an emergency</w:t>
            </w:r>
          </w:p>
        </w:tc>
        <w:tc>
          <w:tcPr>
            <w:tcW w:w="1457" w:type="dxa"/>
          </w:tcPr>
          <w:p w14:paraId="0F092F6C" w14:textId="546363CB" w:rsidR="00500810" w:rsidRPr="00500810" w:rsidRDefault="00500810" w:rsidP="00500810">
            <w:pPr>
              <w:spacing w:before="120" w:after="120" w:line="240" w:lineRule="auto"/>
              <w:rPr>
                <w:rFonts w:ascii="Arial" w:hAnsi="Arial" w:cs="Arial"/>
                <w:color w:val="FFFFFF" w:themeColor="background1"/>
                <w:sz w:val="24"/>
                <w:szCs w:val="24"/>
                <w:highlight w:val="yellow"/>
              </w:rPr>
            </w:pPr>
            <w:r w:rsidRPr="00500810">
              <w:rPr>
                <w:rFonts w:ascii="Arial" w:hAnsi="Arial" w:cs="Arial"/>
                <w:color w:val="FFFFFF" w:themeColor="background1"/>
                <w:sz w:val="24"/>
                <w:szCs w:val="24"/>
              </w:rPr>
              <w:t>Blank</w:t>
            </w:r>
          </w:p>
        </w:tc>
        <w:tc>
          <w:tcPr>
            <w:tcW w:w="1257" w:type="dxa"/>
          </w:tcPr>
          <w:p w14:paraId="6E6CF5DC" w14:textId="03F850F8"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52" w:type="dxa"/>
          </w:tcPr>
          <w:p w14:paraId="6520D887" w14:textId="6846F4FC"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92" w:type="dxa"/>
          </w:tcPr>
          <w:p w14:paraId="381FAA8E" w14:textId="05315EE9"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17" w:type="dxa"/>
          </w:tcPr>
          <w:p w14:paraId="009EA2D4" w14:textId="5212D1AE"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65A24F23" w14:textId="2BDB9D0F" w:rsidTr="00500810">
        <w:trPr>
          <w:trHeight w:val="720"/>
        </w:trPr>
        <w:tc>
          <w:tcPr>
            <w:tcW w:w="6590" w:type="dxa"/>
          </w:tcPr>
          <w:p w14:paraId="52629B5D" w14:textId="42E7DAB2" w:rsidR="00500810" w:rsidRPr="00500810" w:rsidRDefault="00500810" w:rsidP="00500810">
            <w:pPr>
              <w:pStyle w:val="ColorfulShading-Accent31"/>
              <w:numPr>
                <w:ilvl w:val="0"/>
                <w:numId w:val="6"/>
              </w:numPr>
              <w:spacing w:line="276" w:lineRule="auto"/>
              <w:ind w:left="360"/>
              <w:rPr>
                <w:rFonts w:ascii="Arial" w:hAnsi="Arial" w:cs="Arial"/>
                <w:b/>
                <w:bCs/>
                <w:i/>
                <w:iCs/>
                <w:color w:val="404040" w:themeColor="text1" w:themeTint="BF"/>
                <w:spacing w:val="-3"/>
                <w:sz w:val="24"/>
              </w:rPr>
            </w:pPr>
            <w:r w:rsidRPr="00500810">
              <w:rPr>
                <w:rFonts w:ascii="Arial" w:hAnsi="Arial" w:cs="Arial"/>
                <w:spacing w:val="-3"/>
                <w:sz w:val="24"/>
              </w:rPr>
              <w:t>The organization/agency has information and intelligence dissemination procedures to ensure appropriate communication flow with local response partners</w:t>
            </w:r>
          </w:p>
        </w:tc>
        <w:tc>
          <w:tcPr>
            <w:tcW w:w="1457" w:type="dxa"/>
          </w:tcPr>
          <w:p w14:paraId="10D8098C" w14:textId="7D2197C4"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57" w:type="dxa"/>
          </w:tcPr>
          <w:p w14:paraId="4AF2FA4E" w14:textId="0CC83B3C"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52" w:type="dxa"/>
          </w:tcPr>
          <w:p w14:paraId="66794FE2" w14:textId="7895182D"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92" w:type="dxa"/>
          </w:tcPr>
          <w:p w14:paraId="56FA913A" w14:textId="0ACD7D13"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17" w:type="dxa"/>
          </w:tcPr>
          <w:p w14:paraId="5F4AB3D9" w14:textId="0843E5CC"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69FB10C1" w14:textId="5F42E95A" w:rsidTr="00500810">
        <w:trPr>
          <w:trHeight w:val="251"/>
        </w:trPr>
        <w:tc>
          <w:tcPr>
            <w:tcW w:w="6590" w:type="dxa"/>
          </w:tcPr>
          <w:p w14:paraId="1EC2CF3A" w14:textId="53BDB61B" w:rsidR="00500810" w:rsidRPr="00500810" w:rsidRDefault="00500810" w:rsidP="00500810">
            <w:pPr>
              <w:pStyle w:val="ColorfulShading-Accent31"/>
              <w:numPr>
                <w:ilvl w:val="0"/>
                <w:numId w:val="6"/>
              </w:numPr>
              <w:spacing w:line="276" w:lineRule="auto"/>
              <w:ind w:left="360"/>
              <w:rPr>
                <w:rFonts w:ascii="Arial" w:hAnsi="Arial" w:cs="Arial"/>
                <w:b/>
                <w:bCs/>
                <w:i/>
                <w:iCs/>
                <w:color w:val="404040" w:themeColor="text1" w:themeTint="BF"/>
                <w:spacing w:val="-3"/>
                <w:sz w:val="24"/>
              </w:rPr>
            </w:pPr>
            <w:r w:rsidRPr="00500810">
              <w:rPr>
                <w:rFonts w:ascii="Arial" w:hAnsi="Arial" w:cs="Arial"/>
                <w:spacing w:val="-3"/>
                <w:sz w:val="24"/>
              </w:rPr>
              <w:t>Organization/agency personnel have received appropriate training on various communication modalities (e.g., satellite phones, radios, alert and notification systems, software programs, ham radios, etc.) with emphasis on appropriate communication etiquette and procedures</w:t>
            </w:r>
          </w:p>
        </w:tc>
        <w:tc>
          <w:tcPr>
            <w:tcW w:w="1457" w:type="dxa"/>
          </w:tcPr>
          <w:p w14:paraId="0D7A7A03" w14:textId="0250FF45"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57" w:type="dxa"/>
          </w:tcPr>
          <w:p w14:paraId="2EA77F4F" w14:textId="785DAE97"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52" w:type="dxa"/>
          </w:tcPr>
          <w:p w14:paraId="6ACBD8B5" w14:textId="3CFFBD5C"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92" w:type="dxa"/>
          </w:tcPr>
          <w:p w14:paraId="29457DE2" w14:textId="3A104F8F"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17" w:type="dxa"/>
          </w:tcPr>
          <w:p w14:paraId="3F069F41" w14:textId="1EC8F253"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46FA58C9" w14:textId="6640BA37" w:rsidTr="00500810">
        <w:trPr>
          <w:trHeight w:val="720"/>
        </w:trPr>
        <w:tc>
          <w:tcPr>
            <w:tcW w:w="6590" w:type="dxa"/>
          </w:tcPr>
          <w:p w14:paraId="5FBEAB28" w14:textId="4A2DB7B4" w:rsidR="00500810" w:rsidRPr="00500810" w:rsidRDefault="00500810" w:rsidP="00500810">
            <w:pPr>
              <w:pStyle w:val="ColorfulShading-Accent31"/>
              <w:numPr>
                <w:ilvl w:val="0"/>
                <w:numId w:val="6"/>
              </w:numPr>
              <w:spacing w:line="276" w:lineRule="auto"/>
              <w:ind w:left="360"/>
              <w:rPr>
                <w:rFonts w:ascii="Arial" w:hAnsi="Arial" w:cs="Arial"/>
                <w:b/>
                <w:bCs/>
                <w:i/>
                <w:iCs/>
                <w:color w:val="404040" w:themeColor="text1" w:themeTint="BF"/>
                <w:spacing w:val="-3"/>
                <w:sz w:val="24"/>
              </w:rPr>
            </w:pPr>
            <w:r w:rsidRPr="00500810">
              <w:rPr>
                <w:rFonts w:ascii="Arial" w:hAnsi="Arial" w:cs="Arial"/>
                <w:spacing w:val="-3"/>
                <w:sz w:val="24"/>
              </w:rPr>
              <w:t xml:space="preserve">The organization/agency </w:t>
            </w:r>
            <w:r w:rsidRPr="00500810">
              <w:rPr>
                <w:rFonts w:ascii="Arial" w:hAnsi="Arial" w:cs="Arial"/>
                <w:bCs/>
                <w:spacing w:val="-3"/>
                <w:sz w:val="24"/>
              </w:rPr>
              <w:t>has vendor agreements in place to rapidly request and acquire additional equipment and supplies needed during an emergency</w:t>
            </w:r>
          </w:p>
        </w:tc>
        <w:tc>
          <w:tcPr>
            <w:tcW w:w="1457" w:type="dxa"/>
          </w:tcPr>
          <w:p w14:paraId="44107C82" w14:textId="3FC0F196"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57" w:type="dxa"/>
          </w:tcPr>
          <w:p w14:paraId="478572C0" w14:textId="6800D484"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52" w:type="dxa"/>
          </w:tcPr>
          <w:p w14:paraId="658FFC53" w14:textId="02E5C1AB"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92" w:type="dxa"/>
          </w:tcPr>
          <w:p w14:paraId="5FCFEE6B" w14:textId="43437E4F"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17" w:type="dxa"/>
          </w:tcPr>
          <w:p w14:paraId="4E6119A8" w14:textId="0F517798"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39E94B42" w14:textId="6C60A394" w:rsidTr="00500810">
        <w:trPr>
          <w:trHeight w:val="720"/>
        </w:trPr>
        <w:tc>
          <w:tcPr>
            <w:tcW w:w="6590" w:type="dxa"/>
          </w:tcPr>
          <w:p w14:paraId="0D2CEFAA" w14:textId="0B736AA9" w:rsidR="00500810" w:rsidRPr="00500810" w:rsidRDefault="00500810" w:rsidP="00500810">
            <w:pPr>
              <w:pStyle w:val="ColorfulShading-Accent31"/>
              <w:numPr>
                <w:ilvl w:val="0"/>
                <w:numId w:val="6"/>
              </w:numPr>
              <w:spacing w:line="276" w:lineRule="auto"/>
              <w:ind w:left="360"/>
              <w:rPr>
                <w:rFonts w:ascii="Arial" w:hAnsi="Arial" w:cs="Arial"/>
                <w:b/>
                <w:bCs/>
                <w:i/>
                <w:iCs/>
                <w:color w:val="404040" w:themeColor="text1" w:themeTint="BF"/>
                <w:spacing w:val="-3"/>
                <w:sz w:val="24"/>
              </w:rPr>
            </w:pPr>
            <w:r w:rsidRPr="00500810">
              <w:rPr>
                <w:rFonts w:ascii="Arial" w:hAnsi="Arial" w:cs="Arial"/>
                <w:spacing w:val="-3"/>
                <w:sz w:val="24"/>
              </w:rPr>
              <w:t xml:space="preserve">Organization/agency personnel are familiar with and have received appropriate training on the local resource </w:t>
            </w:r>
            <w:r w:rsidRPr="00500810">
              <w:rPr>
                <w:rFonts w:ascii="Arial" w:hAnsi="Arial" w:cs="Arial"/>
                <w:spacing w:val="-3"/>
                <w:sz w:val="24"/>
              </w:rPr>
              <w:lastRenderedPageBreak/>
              <w:t>requesting process (e.g., Mutual Aid, EOC, MHOAC Program, and local OES)</w:t>
            </w:r>
          </w:p>
        </w:tc>
        <w:tc>
          <w:tcPr>
            <w:tcW w:w="1457" w:type="dxa"/>
          </w:tcPr>
          <w:p w14:paraId="77AD775B" w14:textId="6319F9BC"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lastRenderedPageBreak/>
              <w:t>Blank</w:t>
            </w:r>
          </w:p>
        </w:tc>
        <w:tc>
          <w:tcPr>
            <w:tcW w:w="1257" w:type="dxa"/>
          </w:tcPr>
          <w:p w14:paraId="54C8CCA7" w14:textId="768E7A29"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52" w:type="dxa"/>
          </w:tcPr>
          <w:p w14:paraId="36600067" w14:textId="52F16111"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92" w:type="dxa"/>
          </w:tcPr>
          <w:p w14:paraId="1BFC522D" w14:textId="1125B1DB"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17" w:type="dxa"/>
          </w:tcPr>
          <w:p w14:paraId="7CF312EC" w14:textId="6E24C884"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353DF948" w14:textId="3A322E9F" w:rsidTr="00500810">
        <w:trPr>
          <w:trHeight w:val="720"/>
        </w:trPr>
        <w:tc>
          <w:tcPr>
            <w:tcW w:w="6590" w:type="dxa"/>
          </w:tcPr>
          <w:p w14:paraId="45F904AF" w14:textId="65CF97A1" w:rsidR="00500810" w:rsidRPr="00500810" w:rsidRDefault="00500810" w:rsidP="00500810">
            <w:pPr>
              <w:pStyle w:val="ColorfulShading-Accent31"/>
              <w:numPr>
                <w:ilvl w:val="0"/>
                <w:numId w:val="6"/>
              </w:numPr>
              <w:spacing w:line="276" w:lineRule="auto"/>
              <w:ind w:left="360"/>
              <w:rPr>
                <w:rFonts w:ascii="Arial" w:hAnsi="Arial" w:cs="Arial"/>
                <w:b/>
                <w:bCs/>
                <w:i/>
                <w:iCs/>
                <w:color w:val="404040" w:themeColor="text1" w:themeTint="BF"/>
                <w:spacing w:val="-3"/>
                <w:sz w:val="24"/>
              </w:rPr>
            </w:pPr>
            <w:r w:rsidRPr="00500810">
              <w:rPr>
                <w:rFonts w:ascii="Arial" w:hAnsi="Arial" w:cs="Arial"/>
                <w:spacing w:val="-3"/>
                <w:sz w:val="24"/>
              </w:rPr>
              <w:t>The organization/agency has a formal process/procedure to place, receive, track, and/or respond to resource requests from local response partners</w:t>
            </w:r>
          </w:p>
        </w:tc>
        <w:tc>
          <w:tcPr>
            <w:tcW w:w="1457" w:type="dxa"/>
          </w:tcPr>
          <w:p w14:paraId="08C9C87F" w14:textId="0360226D"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57" w:type="dxa"/>
          </w:tcPr>
          <w:p w14:paraId="401D591F" w14:textId="1A155EE1"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52" w:type="dxa"/>
          </w:tcPr>
          <w:p w14:paraId="40F0E1D0" w14:textId="40E5A8D1"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92" w:type="dxa"/>
          </w:tcPr>
          <w:p w14:paraId="7413C373" w14:textId="458A33EA"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17" w:type="dxa"/>
          </w:tcPr>
          <w:p w14:paraId="26BF336B" w14:textId="61F6779D"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bl>
    <w:p w14:paraId="362F3CAB" w14:textId="77777777" w:rsidR="0002093C" w:rsidRDefault="0002093C" w:rsidP="00956B9A"/>
    <w:p w14:paraId="29685107" w14:textId="77777777" w:rsidR="007240B2" w:rsidRDefault="007240B2">
      <w:pPr>
        <w:jc w:val="center"/>
      </w:pPr>
    </w:p>
    <w:p w14:paraId="05E42D8E" w14:textId="77777777" w:rsidR="00A32AF7" w:rsidRDefault="00A32AF7">
      <w:pPr>
        <w:jc w:val="center"/>
      </w:pPr>
      <w:r>
        <w:br w:type="page"/>
      </w:r>
    </w:p>
    <w:tbl>
      <w:tblPr>
        <w:tblStyle w:val="TableGrid"/>
        <w:tblW w:w="13067" w:type="dxa"/>
        <w:tblLook w:val="04A0" w:firstRow="1" w:lastRow="0" w:firstColumn="1" w:lastColumn="0" w:noHBand="0" w:noVBand="1"/>
        <w:tblCaption w:val="Response and Recovery"/>
        <w:tblDescription w:val="This checklist table lists actions that can be taken by a public safety organization to enhance response and recovery elements of their emergency management program. "/>
      </w:tblPr>
      <w:tblGrid>
        <w:gridCol w:w="6480"/>
        <w:gridCol w:w="1471"/>
        <w:gridCol w:w="1271"/>
        <w:gridCol w:w="1074"/>
        <w:gridCol w:w="940"/>
        <w:gridCol w:w="1831"/>
      </w:tblGrid>
      <w:tr w:rsidR="009E3A9E" w:rsidRPr="008A7E4F" w14:paraId="6D3CAA2B" w14:textId="14136B42" w:rsidTr="00500810">
        <w:trPr>
          <w:trHeight w:val="638"/>
          <w:tblHeader/>
        </w:trPr>
        <w:tc>
          <w:tcPr>
            <w:tcW w:w="6480" w:type="dxa"/>
            <w:shd w:val="clear" w:color="auto" w:fill="002060"/>
          </w:tcPr>
          <w:p w14:paraId="4781E273" w14:textId="41A14835" w:rsidR="004D586B" w:rsidRPr="00500810" w:rsidRDefault="00A446A1" w:rsidP="00500810">
            <w:pPr>
              <w:spacing w:before="120" w:after="120" w:line="240" w:lineRule="auto"/>
              <w:rPr>
                <w:rFonts w:ascii="Arial" w:eastAsiaTheme="majorEastAsia" w:hAnsi="Arial" w:cs="Arial"/>
                <w:b/>
                <w:bCs/>
                <w:i/>
                <w:iCs/>
                <w:color w:val="FFFFFF"/>
                <w:sz w:val="24"/>
                <w:szCs w:val="24"/>
              </w:rPr>
            </w:pPr>
            <w:r w:rsidRPr="00500810">
              <w:rPr>
                <w:rFonts w:ascii="Arial" w:hAnsi="Arial" w:cs="Arial"/>
                <w:b/>
                <w:color w:val="FFFFFF"/>
                <w:sz w:val="24"/>
                <w:szCs w:val="24"/>
              </w:rPr>
              <w:lastRenderedPageBreak/>
              <w:t>II. Response and Recovery</w:t>
            </w:r>
          </w:p>
        </w:tc>
        <w:tc>
          <w:tcPr>
            <w:tcW w:w="1471" w:type="dxa"/>
            <w:shd w:val="clear" w:color="auto" w:fill="002060"/>
          </w:tcPr>
          <w:p w14:paraId="15043B0E" w14:textId="12383D33" w:rsidR="004D586B" w:rsidRPr="00500810" w:rsidRDefault="004D586B" w:rsidP="00500810">
            <w:pPr>
              <w:spacing w:after="0" w:line="240" w:lineRule="auto"/>
              <w:rPr>
                <w:rFonts w:ascii="Arial" w:hAnsi="Arial" w:cs="Arial"/>
                <w:b/>
                <w:color w:val="FFFFFF"/>
                <w:sz w:val="24"/>
                <w:szCs w:val="24"/>
              </w:rPr>
            </w:pPr>
            <w:r w:rsidRPr="00500810">
              <w:rPr>
                <w:rFonts w:ascii="Arial" w:hAnsi="Arial" w:cs="Arial"/>
                <w:b/>
                <w:color w:val="FFFFFF"/>
                <w:sz w:val="24"/>
                <w:szCs w:val="24"/>
              </w:rPr>
              <w:t>Completed</w:t>
            </w:r>
          </w:p>
        </w:tc>
        <w:tc>
          <w:tcPr>
            <w:tcW w:w="1271" w:type="dxa"/>
            <w:shd w:val="clear" w:color="auto" w:fill="002060"/>
          </w:tcPr>
          <w:p w14:paraId="5E5A3677" w14:textId="77777777" w:rsidR="004D586B" w:rsidRPr="00500810" w:rsidRDefault="004D586B" w:rsidP="00500810">
            <w:pPr>
              <w:spacing w:after="0" w:line="240" w:lineRule="auto"/>
              <w:rPr>
                <w:rFonts w:ascii="Arial" w:hAnsi="Arial" w:cs="Arial"/>
                <w:b/>
                <w:color w:val="FFFFFF"/>
                <w:sz w:val="24"/>
                <w:szCs w:val="24"/>
              </w:rPr>
            </w:pPr>
            <w:r w:rsidRPr="00500810">
              <w:rPr>
                <w:rFonts w:ascii="Arial" w:hAnsi="Arial" w:cs="Arial"/>
                <w:b/>
                <w:color w:val="FFFFFF"/>
                <w:sz w:val="24"/>
                <w:szCs w:val="24"/>
              </w:rPr>
              <w:t>In Progress</w:t>
            </w:r>
          </w:p>
        </w:tc>
        <w:tc>
          <w:tcPr>
            <w:tcW w:w="1074" w:type="dxa"/>
            <w:shd w:val="clear" w:color="auto" w:fill="002060"/>
          </w:tcPr>
          <w:p w14:paraId="16408303" w14:textId="77777777" w:rsidR="004D586B" w:rsidRPr="00500810" w:rsidRDefault="004D586B" w:rsidP="00500810">
            <w:pPr>
              <w:spacing w:after="0" w:line="240" w:lineRule="auto"/>
              <w:rPr>
                <w:rFonts w:ascii="Arial" w:hAnsi="Arial" w:cs="Arial"/>
                <w:b/>
                <w:color w:val="FFFFFF"/>
                <w:sz w:val="24"/>
                <w:szCs w:val="24"/>
              </w:rPr>
            </w:pPr>
            <w:r w:rsidRPr="00500810">
              <w:rPr>
                <w:rFonts w:ascii="Arial" w:hAnsi="Arial" w:cs="Arial"/>
                <w:b/>
                <w:color w:val="FFFFFF"/>
                <w:sz w:val="24"/>
                <w:szCs w:val="24"/>
              </w:rPr>
              <w:t xml:space="preserve">Not </w:t>
            </w:r>
          </w:p>
          <w:p w14:paraId="45E85DC7" w14:textId="4B224703" w:rsidR="004D586B" w:rsidRPr="00500810" w:rsidRDefault="004D586B" w:rsidP="00500810">
            <w:pPr>
              <w:spacing w:after="0" w:line="240" w:lineRule="auto"/>
              <w:rPr>
                <w:rFonts w:ascii="Arial" w:hAnsi="Arial" w:cs="Arial"/>
                <w:b/>
                <w:color w:val="FFFFFF"/>
                <w:sz w:val="24"/>
                <w:szCs w:val="24"/>
              </w:rPr>
            </w:pPr>
            <w:r w:rsidRPr="00500810">
              <w:rPr>
                <w:rFonts w:ascii="Arial" w:hAnsi="Arial" w:cs="Arial"/>
                <w:b/>
                <w:color w:val="FFFFFF"/>
                <w:sz w:val="24"/>
                <w:szCs w:val="24"/>
              </w:rPr>
              <w:t>Started</w:t>
            </w:r>
          </w:p>
        </w:tc>
        <w:tc>
          <w:tcPr>
            <w:tcW w:w="940" w:type="dxa"/>
            <w:shd w:val="clear" w:color="auto" w:fill="002060"/>
          </w:tcPr>
          <w:p w14:paraId="7E62805E" w14:textId="77777777" w:rsidR="004D586B" w:rsidRPr="00500810" w:rsidRDefault="004D586B" w:rsidP="00500810">
            <w:pPr>
              <w:spacing w:after="0" w:line="240" w:lineRule="auto"/>
              <w:rPr>
                <w:rFonts w:ascii="Arial" w:hAnsi="Arial" w:cs="Arial"/>
                <w:b/>
                <w:color w:val="FFFFFF"/>
                <w:sz w:val="24"/>
                <w:szCs w:val="24"/>
              </w:rPr>
            </w:pPr>
          </w:p>
          <w:p w14:paraId="6D950B71" w14:textId="77777777" w:rsidR="004D586B" w:rsidRPr="00500810" w:rsidRDefault="004D586B" w:rsidP="00500810">
            <w:pPr>
              <w:spacing w:after="0" w:line="240" w:lineRule="auto"/>
              <w:rPr>
                <w:rFonts w:ascii="Arial" w:hAnsi="Arial" w:cs="Arial"/>
                <w:b/>
                <w:color w:val="FFFFFF"/>
                <w:sz w:val="24"/>
                <w:szCs w:val="24"/>
              </w:rPr>
            </w:pPr>
          </w:p>
          <w:p w14:paraId="23E397A0" w14:textId="77777777" w:rsidR="004D586B" w:rsidRPr="00500810" w:rsidRDefault="004D586B" w:rsidP="00500810">
            <w:pPr>
              <w:spacing w:after="0" w:line="240" w:lineRule="auto"/>
              <w:rPr>
                <w:rFonts w:ascii="Arial" w:hAnsi="Arial" w:cs="Arial"/>
                <w:b/>
                <w:color w:val="FFFFFF"/>
                <w:sz w:val="24"/>
                <w:szCs w:val="24"/>
              </w:rPr>
            </w:pPr>
            <w:r w:rsidRPr="00500810">
              <w:rPr>
                <w:rFonts w:ascii="Arial" w:hAnsi="Arial" w:cs="Arial"/>
                <w:b/>
                <w:color w:val="FFFFFF"/>
                <w:sz w:val="24"/>
                <w:szCs w:val="24"/>
              </w:rPr>
              <w:t>N/A</w:t>
            </w:r>
          </w:p>
        </w:tc>
        <w:tc>
          <w:tcPr>
            <w:tcW w:w="1831" w:type="dxa"/>
            <w:shd w:val="clear" w:color="auto" w:fill="002060"/>
          </w:tcPr>
          <w:p w14:paraId="3FF6F5A9" w14:textId="77777777" w:rsidR="004D586B" w:rsidRPr="00500810" w:rsidRDefault="004D586B" w:rsidP="00500810">
            <w:pPr>
              <w:spacing w:after="0" w:line="240" w:lineRule="auto"/>
              <w:rPr>
                <w:rFonts w:ascii="Arial" w:hAnsi="Arial" w:cs="Arial"/>
                <w:b/>
                <w:color w:val="FFFFFF"/>
                <w:sz w:val="24"/>
                <w:szCs w:val="24"/>
              </w:rPr>
            </w:pPr>
            <w:r w:rsidRPr="00500810">
              <w:rPr>
                <w:rFonts w:ascii="Arial" w:hAnsi="Arial" w:cs="Arial"/>
                <w:b/>
                <w:color w:val="FFFFFF"/>
                <w:sz w:val="24"/>
                <w:szCs w:val="24"/>
              </w:rPr>
              <w:t>Grant</w:t>
            </w:r>
          </w:p>
          <w:p w14:paraId="4F206815" w14:textId="003B2625" w:rsidR="004D586B" w:rsidRPr="00500810" w:rsidRDefault="004D586B" w:rsidP="00500810">
            <w:pPr>
              <w:spacing w:after="0" w:line="240" w:lineRule="auto"/>
              <w:rPr>
                <w:rFonts w:ascii="Arial" w:hAnsi="Arial" w:cs="Arial"/>
                <w:b/>
                <w:color w:val="FFFFFF"/>
                <w:sz w:val="24"/>
                <w:szCs w:val="24"/>
              </w:rPr>
            </w:pPr>
            <w:r w:rsidRPr="00500810">
              <w:rPr>
                <w:rFonts w:ascii="Arial" w:hAnsi="Arial" w:cs="Arial"/>
                <w:b/>
                <w:color w:val="FFFFFF"/>
                <w:sz w:val="24"/>
                <w:szCs w:val="24"/>
              </w:rPr>
              <w:t>Requirements Satisfied</w:t>
            </w:r>
          </w:p>
        </w:tc>
      </w:tr>
      <w:tr w:rsidR="00500810" w:rsidRPr="008A7E4F" w14:paraId="614A0B66" w14:textId="3DE67030" w:rsidTr="00500810">
        <w:trPr>
          <w:trHeight w:val="521"/>
        </w:trPr>
        <w:tc>
          <w:tcPr>
            <w:tcW w:w="6480" w:type="dxa"/>
          </w:tcPr>
          <w:p w14:paraId="4B5913AE" w14:textId="54992231" w:rsidR="00500810" w:rsidRPr="00500810" w:rsidRDefault="00500810" w:rsidP="00500810">
            <w:pPr>
              <w:pStyle w:val="ColorfulShading-Accent31"/>
              <w:numPr>
                <w:ilvl w:val="0"/>
                <w:numId w:val="7"/>
              </w:numPr>
              <w:spacing w:line="276" w:lineRule="auto"/>
              <w:ind w:left="360"/>
              <w:rPr>
                <w:rFonts w:ascii="Arial" w:hAnsi="Arial" w:cs="Arial"/>
                <w:b/>
                <w:bCs/>
                <w:i/>
                <w:iCs/>
                <w:color w:val="243F60" w:themeColor="accent1" w:themeShade="7F"/>
                <w:spacing w:val="-3"/>
                <w:sz w:val="24"/>
              </w:rPr>
            </w:pPr>
            <w:r w:rsidRPr="00500810">
              <w:rPr>
                <w:rFonts w:ascii="Arial" w:hAnsi="Arial" w:cs="Arial"/>
                <w:spacing w:val="-3"/>
                <w:sz w:val="24"/>
              </w:rPr>
              <w:t>The organization/agency has identified person(s) authorized to activate the EOP, and other applicable plans</w:t>
            </w:r>
          </w:p>
        </w:tc>
        <w:tc>
          <w:tcPr>
            <w:tcW w:w="1471" w:type="dxa"/>
          </w:tcPr>
          <w:p w14:paraId="57945130" w14:textId="207E77EF"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71" w:type="dxa"/>
          </w:tcPr>
          <w:p w14:paraId="6FFB8383" w14:textId="2ECBD94D"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74" w:type="dxa"/>
          </w:tcPr>
          <w:p w14:paraId="1EF13A11" w14:textId="5D5C31C4"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40" w:type="dxa"/>
          </w:tcPr>
          <w:p w14:paraId="274D7339" w14:textId="34EE2164"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31" w:type="dxa"/>
          </w:tcPr>
          <w:p w14:paraId="76554901" w14:textId="2E83D677"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21312BE2" w14:textId="35F5A096" w:rsidTr="00500810">
        <w:trPr>
          <w:trHeight w:val="449"/>
        </w:trPr>
        <w:tc>
          <w:tcPr>
            <w:tcW w:w="6480" w:type="dxa"/>
          </w:tcPr>
          <w:p w14:paraId="70A44302" w14:textId="5364236C" w:rsidR="00500810" w:rsidRPr="00500810" w:rsidRDefault="00500810" w:rsidP="00500810">
            <w:pPr>
              <w:pStyle w:val="ColorfulShading-Accent31"/>
              <w:numPr>
                <w:ilvl w:val="0"/>
                <w:numId w:val="7"/>
              </w:numPr>
              <w:spacing w:line="276" w:lineRule="auto"/>
              <w:ind w:left="360"/>
              <w:rPr>
                <w:rFonts w:ascii="Arial" w:hAnsi="Arial" w:cs="Arial"/>
                <w:b/>
                <w:bCs/>
                <w:i/>
                <w:iCs/>
                <w:color w:val="404040" w:themeColor="text1" w:themeTint="BF"/>
                <w:spacing w:val="-3"/>
                <w:sz w:val="24"/>
              </w:rPr>
            </w:pPr>
            <w:r w:rsidRPr="00500810">
              <w:rPr>
                <w:rFonts w:ascii="Arial" w:hAnsi="Arial" w:cs="Arial"/>
                <w:spacing w:val="-3"/>
                <w:sz w:val="24"/>
              </w:rPr>
              <w:t>The organization/agency utilizes SEMS, NIMS, and ICS concepts (including Unified Command) in response to a Mass Casualty Incident (MCI)</w:t>
            </w:r>
          </w:p>
        </w:tc>
        <w:tc>
          <w:tcPr>
            <w:tcW w:w="1471" w:type="dxa"/>
          </w:tcPr>
          <w:p w14:paraId="1C270E5A" w14:textId="3B0FDDED"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71" w:type="dxa"/>
          </w:tcPr>
          <w:p w14:paraId="215E46B3" w14:textId="6AC19B52"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74" w:type="dxa"/>
          </w:tcPr>
          <w:p w14:paraId="38CAF6C0" w14:textId="20708AE8"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40" w:type="dxa"/>
          </w:tcPr>
          <w:p w14:paraId="5D6906A7" w14:textId="188DB243"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31" w:type="dxa"/>
          </w:tcPr>
          <w:p w14:paraId="3574D8F2" w14:textId="0EFC6EDD"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40121D4C" w14:textId="4908C212" w:rsidTr="00500810">
        <w:trPr>
          <w:trHeight w:val="720"/>
        </w:trPr>
        <w:tc>
          <w:tcPr>
            <w:tcW w:w="6480" w:type="dxa"/>
          </w:tcPr>
          <w:p w14:paraId="766D3033" w14:textId="6444EC05" w:rsidR="00500810" w:rsidRPr="00500810" w:rsidRDefault="00500810" w:rsidP="00500810">
            <w:pPr>
              <w:pStyle w:val="ColorfulShading-Accent31"/>
              <w:numPr>
                <w:ilvl w:val="0"/>
                <w:numId w:val="7"/>
              </w:numPr>
              <w:spacing w:line="276" w:lineRule="auto"/>
              <w:ind w:left="360"/>
              <w:rPr>
                <w:rFonts w:ascii="Arial" w:hAnsi="Arial" w:cs="Arial"/>
                <w:b/>
                <w:bCs/>
                <w:i/>
                <w:iCs/>
                <w:color w:val="404040" w:themeColor="text1" w:themeTint="BF"/>
                <w:spacing w:val="-3"/>
                <w:sz w:val="24"/>
              </w:rPr>
            </w:pPr>
            <w:r w:rsidRPr="00500810">
              <w:rPr>
                <w:rFonts w:ascii="Arial" w:hAnsi="Arial" w:cs="Arial"/>
                <w:spacing w:val="-3"/>
                <w:sz w:val="24"/>
              </w:rPr>
              <w:t>The organization/agency utilizes established procedures to request resources and supplies, and/or to receive, track and respond to resource requests from local response partners</w:t>
            </w:r>
          </w:p>
        </w:tc>
        <w:tc>
          <w:tcPr>
            <w:tcW w:w="1471" w:type="dxa"/>
          </w:tcPr>
          <w:p w14:paraId="6978E3B2" w14:textId="0DFE08B3"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71" w:type="dxa"/>
          </w:tcPr>
          <w:p w14:paraId="5DC41D59" w14:textId="65A07B64"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74" w:type="dxa"/>
          </w:tcPr>
          <w:p w14:paraId="47A6B892" w14:textId="58AA864A"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40" w:type="dxa"/>
          </w:tcPr>
          <w:p w14:paraId="62039FB0" w14:textId="20EEB25B"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31" w:type="dxa"/>
          </w:tcPr>
          <w:p w14:paraId="2A6AFFF3" w14:textId="003D0F00"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2B7E7B6F" w14:textId="4AF150EE" w:rsidTr="00500810">
        <w:trPr>
          <w:trHeight w:val="548"/>
        </w:trPr>
        <w:tc>
          <w:tcPr>
            <w:tcW w:w="6480" w:type="dxa"/>
          </w:tcPr>
          <w:p w14:paraId="11FAB7D7" w14:textId="46202CD6" w:rsidR="00500810" w:rsidRPr="00500810" w:rsidRDefault="00500810" w:rsidP="00500810">
            <w:pPr>
              <w:pStyle w:val="ColorfulShading-Accent31"/>
              <w:numPr>
                <w:ilvl w:val="0"/>
                <w:numId w:val="7"/>
              </w:numPr>
              <w:spacing w:line="276" w:lineRule="auto"/>
              <w:ind w:left="360"/>
              <w:rPr>
                <w:rFonts w:ascii="Arial" w:hAnsi="Arial" w:cs="Arial"/>
                <w:b/>
                <w:bCs/>
                <w:i/>
                <w:iCs/>
                <w:color w:val="404040" w:themeColor="text1" w:themeTint="BF"/>
                <w:spacing w:val="-3"/>
                <w:sz w:val="24"/>
              </w:rPr>
            </w:pPr>
            <w:r w:rsidRPr="00500810">
              <w:rPr>
                <w:rFonts w:ascii="Arial" w:hAnsi="Arial" w:cs="Arial"/>
                <w:spacing w:val="-3"/>
                <w:sz w:val="24"/>
              </w:rPr>
              <w:t xml:space="preserve">The organization/agency utilizes established procedures to increase staffing and emergency response resource availability </w:t>
            </w:r>
          </w:p>
        </w:tc>
        <w:tc>
          <w:tcPr>
            <w:tcW w:w="1471" w:type="dxa"/>
          </w:tcPr>
          <w:p w14:paraId="67679B7C" w14:textId="31F385AD"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71" w:type="dxa"/>
          </w:tcPr>
          <w:p w14:paraId="0CC4DC4F" w14:textId="665C1D87"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74" w:type="dxa"/>
          </w:tcPr>
          <w:p w14:paraId="77448AA1" w14:textId="76E5C285"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40" w:type="dxa"/>
          </w:tcPr>
          <w:p w14:paraId="1B872AB7" w14:textId="67645988"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31" w:type="dxa"/>
          </w:tcPr>
          <w:p w14:paraId="59121E8B" w14:textId="0FCBA1EE"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53E03B19" w14:textId="5CD2B6EC" w:rsidTr="00500810">
        <w:trPr>
          <w:trHeight w:val="720"/>
        </w:trPr>
        <w:tc>
          <w:tcPr>
            <w:tcW w:w="6480" w:type="dxa"/>
          </w:tcPr>
          <w:p w14:paraId="2E5219B5" w14:textId="28C34A8D" w:rsidR="00500810" w:rsidRPr="00500810" w:rsidRDefault="00500810" w:rsidP="00500810">
            <w:pPr>
              <w:pStyle w:val="ColorfulShading-Accent31"/>
              <w:numPr>
                <w:ilvl w:val="0"/>
                <w:numId w:val="7"/>
              </w:numPr>
              <w:spacing w:line="276" w:lineRule="auto"/>
              <w:ind w:left="360"/>
              <w:rPr>
                <w:rFonts w:ascii="Arial" w:hAnsi="Arial" w:cs="Arial"/>
                <w:b/>
                <w:bCs/>
                <w:i/>
                <w:iCs/>
                <w:color w:val="404040" w:themeColor="text1" w:themeTint="BF"/>
                <w:spacing w:val="-3"/>
                <w:sz w:val="24"/>
              </w:rPr>
            </w:pPr>
            <w:r w:rsidRPr="00500810">
              <w:rPr>
                <w:rFonts w:ascii="Arial" w:hAnsi="Arial" w:cs="Arial"/>
                <w:spacing w:val="-3"/>
                <w:sz w:val="24"/>
              </w:rPr>
              <w:t>The organization/agency utilizes established procedures to notify employees, clients, response partners, and administration (as appropriate) of a medical surge. Notifications may include the current and projected impacts on operations, and any updated or newly created personal protective equipment (PPE), response, patient care, or patient destination policies/protocols/directives</w:t>
            </w:r>
          </w:p>
        </w:tc>
        <w:tc>
          <w:tcPr>
            <w:tcW w:w="1471" w:type="dxa"/>
          </w:tcPr>
          <w:p w14:paraId="06761254" w14:textId="7B639F1E"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71" w:type="dxa"/>
          </w:tcPr>
          <w:p w14:paraId="7AA9E42C" w14:textId="37DC3B22"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74" w:type="dxa"/>
          </w:tcPr>
          <w:p w14:paraId="62A36D02" w14:textId="16D55D4C"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40" w:type="dxa"/>
          </w:tcPr>
          <w:p w14:paraId="3299DDD6" w14:textId="1268ED33"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31" w:type="dxa"/>
          </w:tcPr>
          <w:p w14:paraId="2A2CFA86" w14:textId="5E608708"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15623CF1" w14:textId="617CE49B" w:rsidTr="00500810">
        <w:trPr>
          <w:trHeight w:val="719"/>
        </w:trPr>
        <w:tc>
          <w:tcPr>
            <w:tcW w:w="6480" w:type="dxa"/>
          </w:tcPr>
          <w:p w14:paraId="5C481E8C" w14:textId="65B1EB37" w:rsidR="00500810" w:rsidRPr="00500810" w:rsidRDefault="00500810" w:rsidP="00500810">
            <w:pPr>
              <w:pStyle w:val="ColorfulShading-Accent31"/>
              <w:numPr>
                <w:ilvl w:val="0"/>
                <w:numId w:val="7"/>
              </w:numPr>
              <w:spacing w:line="276" w:lineRule="auto"/>
              <w:ind w:left="360"/>
              <w:rPr>
                <w:rFonts w:ascii="Arial" w:hAnsi="Arial" w:cs="Arial"/>
                <w:b/>
                <w:bCs/>
                <w:i/>
                <w:iCs/>
                <w:color w:val="404040" w:themeColor="text1" w:themeTint="BF"/>
                <w:spacing w:val="-3"/>
                <w:sz w:val="24"/>
              </w:rPr>
            </w:pPr>
            <w:r w:rsidRPr="00500810">
              <w:rPr>
                <w:rFonts w:ascii="Arial" w:hAnsi="Arial" w:cs="Arial"/>
                <w:spacing w:val="-3"/>
                <w:sz w:val="24"/>
              </w:rPr>
              <w:t xml:space="preserve">The organization/agency </w:t>
            </w:r>
            <w:r w:rsidRPr="00500810">
              <w:rPr>
                <w:rFonts w:ascii="Arial" w:hAnsi="Arial" w:cs="Arial"/>
                <w:sz w:val="24"/>
              </w:rPr>
              <w:t xml:space="preserve">has procedures to quickly obtain incident specific details (e.g., voicemail messages, </w:t>
            </w:r>
            <w:r w:rsidRPr="00500810">
              <w:rPr>
                <w:rFonts w:ascii="Arial" w:hAnsi="Arial" w:cs="Arial"/>
                <w:spacing w:val="-3"/>
                <w:sz w:val="24"/>
              </w:rPr>
              <w:t xml:space="preserve">witnesses, security cameras, surveillance </w:t>
            </w:r>
            <w:r w:rsidRPr="00500810">
              <w:rPr>
                <w:rFonts w:ascii="Arial" w:hAnsi="Arial" w:cs="Arial"/>
                <w:spacing w:val="-3"/>
                <w:sz w:val="24"/>
              </w:rPr>
              <w:lastRenderedPageBreak/>
              <w:t>tapes</w:t>
            </w:r>
            <w:r w:rsidRPr="00500810">
              <w:rPr>
                <w:rFonts w:ascii="Arial" w:hAnsi="Arial" w:cs="Arial"/>
                <w:sz w:val="24"/>
              </w:rPr>
              <w:t>, and other data) for evidence and intelligence gathering</w:t>
            </w:r>
          </w:p>
        </w:tc>
        <w:tc>
          <w:tcPr>
            <w:tcW w:w="1471" w:type="dxa"/>
          </w:tcPr>
          <w:p w14:paraId="1460EC27" w14:textId="672BE986"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lastRenderedPageBreak/>
              <w:t>Blank</w:t>
            </w:r>
          </w:p>
        </w:tc>
        <w:tc>
          <w:tcPr>
            <w:tcW w:w="1271" w:type="dxa"/>
          </w:tcPr>
          <w:p w14:paraId="65506071" w14:textId="1AAAA55B"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74" w:type="dxa"/>
          </w:tcPr>
          <w:p w14:paraId="5790CBCE" w14:textId="1F964836"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40" w:type="dxa"/>
          </w:tcPr>
          <w:p w14:paraId="68E7883B" w14:textId="635D0347"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31" w:type="dxa"/>
          </w:tcPr>
          <w:p w14:paraId="2FD4F0EE" w14:textId="02539576"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518F38EA" w14:textId="2E6EC122" w:rsidTr="00500810">
        <w:trPr>
          <w:trHeight w:val="720"/>
        </w:trPr>
        <w:tc>
          <w:tcPr>
            <w:tcW w:w="6480" w:type="dxa"/>
          </w:tcPr>
          <w:p w14:paraId="74C8A68A" w14:textId="75999982" w:rsidR="00500810" w:rsidRPr="00500810" w:rsidRDefault="00500810" w:rsidP="00500810">
            <w:pPr>
              <w:pStyle w:val="ColorfulShading-Accent31"/>
              <w:numPr>
                <w:ilvl w:val="0"/>
                <w:numId w:val="7"/>
              </w:numPr>
              <w:spacing w:line="276" w:lineRule="auto"/>
              <w:ind w:left="360"/>
              <w:rPr>
                <w:rFonts w:ascii="Arial" w:hAnsi="Arial" w:cs="Arial"/>
                <w:b/>
                <w:bCs/>
                <w:i/>
                <w:iCs/>
                <w:color w:val="404040" w:themeColor="text1" w:themeTint="BF"/>
                <w:spacing w:val="-3"/>
                <w:sz w:val="24"/>
              </w:rPr>
            </w:pPr>
            <w:r w:rsidRPr="00500810">
              <w:rPr>
                <w:rFonts w:ascii="Arial" w:hAnsi="Arial" w:cs="Arial"/>
                <w:spacing w:val="-3"/>
                <w:sz w:val="24"/>
              </w:rPr>
              <w:t>The organization/agency initiates or contributes to an Incident Action Plan (IAP) and engages the EOC and response partners in gathering information to complete and disseminate the IAP</w:t>
            </w:r>
          </w:p>
        </w:tc>
        <w:tc>
          <w:tcPr>
            <w:tcW w:w="1471" w:type="dxa"/>
          </w:tcPr>
          <w:p w14:paraId="236D8A90" w14:textId="51BE6856"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71" w:type="dxa"/>
          </w:tcPr>
          <w:p w14:paraId="3C696E5C" w14:textId="10B59951"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74" w:type="dxa"/>
          </w:tcPr>
          <w:p w14:paraId="33BB942B" w14:textId="21C76563"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40" w:type="dxa"/>
          </w:tcPr>
          <w:p w14:paraId="3E2FF9CE" w14:textId="798939D7"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31" w:type="dxa"/>
          </w:tcPr>
          <w:p w14:paraId="0309DBA4" w14:textId="207CD3C2"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23A72D16" w14:textId="4F7C8490" w:rsidTr="00500810">
        <w:trPr>
          <w:trHeight w:val="720"/>
        </w:trPr>
        <w:tc>
          <w:tcPr>
            <w:tcW w:w="6480" w:type="dxa"/>
          </w:tcPr>
          <w:p w14:paraId="7E87441E" w14:textId="20A30C16" w:rsidR="00500810" w:rsidRPr="00500810" w:rsidRDefault="00500810" w:rsidP="00500810">
            <w:pPr>
              <w:pStyle w:val="ColorfulShading-Accent31"/>
              <w:numPr>
                <w:ilvl w:val="0"/>
                <w:numId w:val="7"/>
              </w:numPr>
              <w:spacing w:line="276" w:lineRule="auto"/>
              <w:ind w:left="360"/>
              <w:rPr>
                <w:rFonts w:ascii="Arial" w:hAnsi="Arial" w:cs="Arial"/>
                <w:b/>
                <w:bCs/>
                <w:i/>
                <w:iCs/>
                <w:color w:val="243F60" w:themeColor="accent1" w:themeShade="7F"/>
                <w:spacing w:val="-3"/>
                <w:sz w:val="24"/>
              </w:rPr>
            </w:pPr>
            <w:r w:rsidRPr="00500810">
              <w:rPr>
                <w:rFonts w:ascii="Arial" w:hAnsi="Arial" w:cs="Arial"/>
                <w:spacing w:val="-3"/>
                <w:sz w:val="24"/>
              </w:rPr>
              <w:t xml:space="preserve">The organization/agency </w:t>
            </w:r>
            <w:r w:rsidRPr="00500810">
              <w:rPr>
                <w:rFonts w:ascii="Arial" w:hAnsi="Arial" w:cs="Arial"/>
                <w:sz w:val="24"/>
              </w:rPr>
              <w:t>has procedures for reporting and documenting staff injuries</w:t>
            </w:r>
          </w:p>
        </w:tc>
        <w:tc>
          <w:tcPr>
            <w:tcW w:w="1471" w:type="dxa"/>
          </w:tcPr>
          <w:p w14:paraId="79F64677" w14:textId="11AC0AFB"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71" w:type="dxa"/>
          </w:tcPr>
          <w:p w14:paraId="77FA4527" w14:textId="102E028C"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74" w:type="dxa"/>
          </w:tcPr>
          <w:p w14:paraId="573BE82C" w14:textId="502473A6"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40" w:type="dxa"/>
          </w:tcPr>
          <w:p w14:paraId="3046B554" w14:textId="21758963"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31" w:type="dxa"/>
          </w:tcPr>
          <w:p w14:paraId="0C989F65" w14:textId="35246BE3"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68E4CE40" w14:textId="66C9B0B3" w:rsidTr="00500810">
        <w:trPr>
          <w:trHeight w:val="764"/>
        </w:trPr>
        <w:tc>
          <w:tcPr>
            <w:tcW w:w="6480" w:type="dxa"/>
          </w:tcPr>
          <w:p w14:paraId="5F79691A" w14:textId="2A136536" w:rsidR="00500810" w:rsidRPr="00500810" w:rsidRDefault="00500810" w:rsidP="00500810">
            <w:pPr>
              <w:pStyle w:val="ColorfulShading-Accent31"/>
              <w:numPr>
                <w:ilvl w:val="0"/>
                <w:numId w:val="7"/>
              </w:numPr>
              <w:spacing w:line="276" w:lineRule="auto"/>
              <w:ind w:left="360"/>
              <w:rPr>
                <w:rFonts w:ascii="Arial" w:hAnsi="Arial" w:cs="Arial"/>
                <w:b/>
                <w:bCs/>
                <w:i/>
                <w:iCs/>
                <w:color w:val="243F60" w:themeColor="accent1" w:themeShade="7F"/>
                <w:spacing w:val="-5"/>
                <w:sz w:val="24"/>
              </w:rPr>
            </w:pPr>
            <w:r w:rsidRPr="00500810">
              <w:rPr>
                <w:rFonts w:ascii="Arial" w:hAnsi="Arial" w:cs="Arial"/>
                <w:spacing w:val="-5"/>
                <w:sz w:val="24"/>
              </w:rPr>
              <w:t>The organization/agency utilizes established procedures to communicate situation status with response partners</w:t>
            </w:r>
          </w:p>
        </w:tc>
        <w:tc>
          <w:tcPr>
            <w:tcW w:w="1471" w:type="dxa"/>
          </w:tcPr>
          <w:p w14:paraId="5D036ED1" w14:textId="03F9D66D"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71" w:type="dxa"/>
          </w:tcPr>
          <w:p w14:paraId="67BF42F5" w14:textId="22A3C966"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74" w:type="dxa"/>
          </w:tcPr>
          <w:p w14:paraId="2F789496" w14:textId="00721192"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40" w:type="dxa"/>
          </w:tcPr>
          <w:p w14:paraId="3FE90154" w14:textId="3318B467"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31" w:type="dxa"/>
          </w:tcPr>
          <w:p w14:paraId="4A64FEB0" w14:textId="55CDAD42"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55504CF3" w14:textId="47F4BC1D" w:rsidTr="00500810">
        <w:trPr>
          <w:trHeight w:val="720"/>
        </w:trPr>
        <w:tc>
          <w:tcPr>
            <w:tcW w:w="6480" w:type="dxa"/>
          </w:tcPr>
          <w:p w14:paraId="2CC96C2E" w14:textId="78AC7F4D" w:rsidR="00500810" w:rsidRPr="00500810" w:rsidRDefault="00500810" w:rsidP="00500810">
            <w:pPr>
              <w:pStyle w:val="ColorfulShading-Accent31"/>
              <w:numPr>
                <w:ilvl w:val="0"/>
                <w:numId w:val="7"/>
              </w:numPr>
              <w:spacing w:line="276" w:lineRule="auto"/>
              <w:ind w:left="360"/>
              <w:rPr>
                <w:rFonts w:ascii="Arial" w:hAnsi="Arial" w:cs="Arial"/>
                <w:b/>
                <w:bCs/>
                <w:i/>
                <w:iCs/>
                <w:color w:val="243F60" w:themeColor="accent1" w:themeShade="7F"/>
                <w:spacing w:val="-3"/>
                <w:sz w:val="24"/>
              </w:rPr>
            </w:pPr>
            <w:r w:rsidRPr="00500810">
              <w:rPr>
                <w:rFonts w:ascii="Arial" w:hAnsi="Arial" w:cs="Arial"/>
                <w:spacing w:val="-3"/>
                <w:sz w:val="24"/>
              </w:rPr>
              <w:t>The organization/agency tracks event-related expenses including supplies, equipment, personnel, and lost revenue using appropriate ICS tools/forms</w:t>
            </w:r>
          </w:p>
        </w:tc>
        <w:tc>
          <w:tcPr>
            <w:tcW w:w="1471" w:type="dxa"/>
          </w:tcPr>
          <w:p w14:paraId="50A918CF" w14:textId="14A8CE26"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71" w:type="dxa"/>
          </w:tcPr>
          <w:p w14:paraId="0229AB6C" w14:textId="2AF94626"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74" w:type="dxa"/>
          </w:tcPr>
          <w:p w14:paraId="13A20922" w14:textId="3804D814"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40" w:type="dxa"/>
          </w:tcPr>
          <w:p w14:paraId="4A4507FD" w14:textId="2CE23A8D"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31" w:type="dxa"/>
          </w:tcPr>
          <w:p w14:paraId="4413D996" w14:textId="7DED1167"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385BAD01" w14:textId="6EC2C5AB" w:rsidTr="00500810">
        <w:trPr>
          <w:trHeight w:val="720"/>
        </w:trPr>
        <w:tc>
          <w:tcPr>
            <w:tcW w:w="6480" w:type="dxa"/>
          </w:tcPr>
          <w:p w14:paraId="04A4F088" w14:textId="0C9CA1A4" w:rsidR="00500810" w:rsidRPr="00500810" w:rsidRDefault="00500810" w:rsidP="00500810">
            <w:pPr>
              <w:pStyle w:val="ColorfulShading-Accent31"/>
              <w:numPr>
                <w:ilvl w:val="0"/>
                <w:numId w:val="7"/>
              </w:numPr>
              <w:spacing w:line="276" w:lineRule="auto"/>
              <w:ind w:left="360"/>
              <w:rPr>
                <w:rFonts w:ascii="Arial" w:hAnsi="Arial" w:cs="Arial"/>
                <w:b/>
                <w:bCs/>
                <w:i/>
                <w:iCs/>
                <w:color w:val="243F60" w:themeColor="accent1" w:themeShade="7F"/>
                <w:spacing w:val="-3"/>
                <w:sz w:val="24"/>
              </w:rPr>
            </w:pPr>
            <w:r w:rsidRPr="00500810">
              <w:rPr>
                <w:rFonts w:ascii="Arial" w:hAnsi="Arial" w:cs="Arial"/>
                <w:spacing w:val="-3"/>
                <w:sz w:val="24"/>
              </w:rPr>
              <w:t>The organization/agency has the capability to support citizen evacuation and shelter-in-place procedures, as well as provide security for at-risk populations and emergency medical services</w:t>
            </w:r>
          </w:p>
        </w:tc>
        <w:tc>
          <w:tcPr>
            <w:tcW w:w="1471" w:type="dxa"/>
          </w:tcPr>
          <w:p w14:paraId="575D407C" w14:textId="5F73F564"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71" w:type="dxa"/>
          </w:tcPr>
          <w:p w14:paraId="2F7FA898" w14:textId="7E99D7C3"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74" w:type="dxa"/>
          </w:tcPr>
          <w:p w14:paraId="4F739700" w14:textId="6EF75D41"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40" w:type="dxa"/>
          </w:tcPr>
          <w:p w14:paraId="2074B54A" w14:textId="22C18BEA"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31" w:type="dxa"/>
          </w:tcPr>
          <w:p w14:paraId="39D2154A" w14:textId="762148E0"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49F24A6D" w14:textId="6CCCC21C" w:rsidTr="00500810">
        <w:trPr>
          <w:trHeight w:val="530"/>
        </w:trPr>
        <w:tc>
          <w:tcPr>
            <w:tcW w:w="6480" w:type="dxa"/>
          </w:tcPr>
          <w:p w14:paraId="3008C007" w14:textId="27ECEAEB" w:rsidR="00500810" w:rsidRPr="00500810" w:rsidRDefault="00500810" w:rsidP="00500810">
            <w:pPr>
              <w:pStyle w:val="ColorfulShading-Accent31"/>
              <w:numPr>
                <w:ilvl w:val="0"/>
                <w:numId w:val="7"/>
              </w:numPr>
              <w:spacing w:line="276" w:lineRule="auto"/>
              <w:ind w:left="360"/>
              <w:rPr>
                <w:rFonts w:ascii="Arial" w:hAnsi="Arial" w:cs="Arial"/>
                <w:b/>
                <w:bCs/>
                <w:i/>
                <w:iCs/>
                <w:color w:val="243F60" w:themeColor="accent1" w:themeShade="7F"/>
                <w:spacing w:val="-3"/>
                <w:sz w:val="24"/>
              </w:rPr>
            </w:pPr>
            <w:r w:rsidRPr="00500810">
              <w:rPr>
                <w:rFonts w:ascii="Arial" w:hAnsi="Arial" w:cs="Arial"/>
                <w:spacing w:val="-3"/>
                <w:sz w:val="24"/>
              </w:rPr>
              <w:t>The organization/agency has protocols for increased security for critical infrastructure, points of entry, and healthcare facilities</w:t>
            </w:r>
          </w:p>
        </w:tc>
        <w:tc>
          <w:tcPr>
            <w:tcW w:w="1471" w:type="dxa"/>
          </w:tcPr>
          <w:p w14:paraId="6A837F70" w14:textId="53A33A4E"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71" w:type="dxa"/>
          </w:tcPr>
          <w:p w14:paraId="51BCD57C" w14:textId="3800B341"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74" w:type="dxa"/>
          </w:tcPr>
          <w:p w14:paraId="5456E22B" w14:textId="0DE99431"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40" w:type="dxa"/>
          </w:tcPr>
          <w:p w14:paraId="242F6995" w14:textId="54E6CB87"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31" w:type="dxa"/>
          </w:tcPr>
          <w:p w14:paraId="2A13C1B6" w14:textId="351AEEEF"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035DAA17" w14:textId="521863F7" w:rsidTr="00500810">
        <w:trPr>
          <w:trHeight w:val="720"/>
        </w:trPr>
        <w:tc>
          <w:tcPr>
            <w:tcW w:w="6480" w:type="dxa"/>
          </w:tcPr>
          <w:p w14:paraId="6F1E1482" w14:textId="46FCF025" w:rsidR="00500810" w:rsidRPr="00500810" w:rsidRDefault="00500810" w:rsidP="00500810">
            <w:pPr>
              <w:pStyle w:val="ColorfulShading-Accent31"/>
              <w:numPr>
                <w:ilvl w:val="0"/>
                <w:numId w:val="7"/>
              </w:numPr>
              <w:spacing w:line="276" w:lineRule="auto"/>
              <w:ind w:left="360"/>
              <w:rPr>
                <w:rFonts w:ascii="Arial" w:hAnsi="Arial" w:cs="Arial"/>
                <w:b/>
                <w:bCs/>
                <w:i/>
                <w:iCs/>
                <w:color w:val="243F60" w:themeColor="accent1" w:themeShade="7F"/>
                <w:spacing w:val="-3"/>
                <w:sz w:val="24"/>
              </w:rPr>
            </w:pPr>
            <w:r w:rsidRPr="00500810">
              <w:rPr>
                <w:rFonts w:ascii="Arial" w:hAnsi="Arial" w:cs="Arial"/>
                <w:spacing w:val="-3"/>
                <w:sz w:val="24"/>
              </w:rPr>
              <w:t xml:space="preserve">The organization/agency has a scheduled debriefing that is coordinated with all response partners, and develops an </w:t>
            </w:r>
            <w:proofErr w:type="gramStart"/>
            <w:r w:rsidRPr="00500810">
              <w:rPr>
                <w:rFonts w:ascii="Arial" w:hAnsi="Arial" w:cs="Arial"/>
                <w:spacing w:val="-3"/>
                <w:sz w:val="24"/>
              </w:rPr>
              <w:t>After Action</w:t>
            </w:r>
            <w:proofErr w:type="gramEnd"/>
            <w:r w:rsidRPr="00500810">
              <w:rPr>
                <w:rFonts w:ascii="Arial" w:hAnsi="Arial" w:cs="Arial"/>
                <w:spacing w:val="-3"/>
                <w:sz w:val="24"/>
              </w:rPr>
              <w:t xml:space="preserve"> Report (AAR) that reviews the operational response and recovery actions</w:t>
            </w:r>
          </w:p>
        </w:tc>
        <w:tc>
          <w:tcPr>
            <w:tcW w:w="1471" w:type="dxa"/>
          </w:tcPr>
          <w:p w14:paraId="2326E368" w14:textId="389C6E75"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71" w:type="dxa"/>
          </w:tcPr>
          <w:p w14:paraId="25EECB0C" w14:textId="64465113"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74" w:type="dxa"/>
          </w:tcPr>
          <w:p w14:paraId="54F06306" w14:textId="78A1262F"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40" w:type="dxa"/>
          </w:tcPr>
          <w:p w14:paraId="2513CAF4" w14:textId="5942C292"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31" w:type="dxa"/>
          </w:tcPr>
          <w:p w14:paraId="067ECCCF" w14:textId="712F51A6"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716D2CFE" w14:textId="3858BF0C" w:rsidTr="00500810">
        <w:trPr>
          <w:trHeight w:val="575"/>
        </w:trPr>
        <w:tc>
          <w:tcPr>
            <w:tcW w:w="6480" w:type="dxa"/>
          </w:tcPr>
          <w:p w14:paraId="3B52F7B7" w14:textId="70958CD0" w:rsidR="00500810" w:rsidRPr="00500810" w:rsidRDefault="00500810" w:rsidP="00500810">
            <w:pPr>
              <w:numPr>
                <w:ilvl w:val="0"/>
                <w:numId w:val="7"/>
              </w:numPr>
              <w:spacing w:after="0"/>
              <w:ind w:left="360"/>
              <w:contextualSpacing/>
              <w:rPr>
                <w:rFonts w:ascii="Arial" w:eastAsia="Times New Roman" w:hAnsi="Arial" w:cs="Arial"/>
                <w:b/>
                <w:bCs/>
                <w:i/>
                <w:iCs/>
                <w:color w:val="243F60" w:themeColor="accent1" w:themeShade="7F"/>
                <w:spacing w:val="-3"/>
                <w:sz w:val="24"/>
                <w:szCs w:val="24"/>
              </w:rPr>
            </w:pPr>
            <w:r w:rsidRPr="00500810">
              <w:rPr>
                <w:rFonts w:ascii="Arial" w:eastAsia="Times New Roman" w:hAnsi="Arial" w:cs="Arial"/>
                <w:spacing w:val="-3"/>
                <w:sz w:val="24"/>
                <w:szCs w:val="24"/>
              </w:rPr>
              <w:lastRenderedPageBreak/>
              <w:t>There is an established process for the development of an Improvement Plan that addresses items identified in the AAR</w:t>
            </w:r>
          </w:p>
        </w:tc>
        <w:tc>
          <w:tcPr>
            <w:tcW w:w="1471" w:type="dxa"/>
          </w:tcPr>
          <w:p w14:paraId="124F84F0" w14:textId="02D021CA"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71" w:type="dxa"/>
          </w:tcPr>
          <w:p w14:paraId="0FAB95D3" w14:textId="05ACF7D0"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74" w:type="dxa"/>
          </w:tcPr>
          <w:p w14:paraId="449F80B1" w14:textId="57AB873C"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40" w:type="dxa"/>
          </w:tcPr>
          <w:p w14:paraId="3618D341" w14:textId="6A6FDAC2"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31" w:type="dxa"/>
          </w:tcPr>
          <w:p w14:paraId="5F43DC62" w14:textId="60282A74"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r w:rsidR="00500810" w:rsidRPr="008A7E4F" w14:paraId="2353B87D" w14:textId="5BE1C78E" w:rsidTr="00500810">
        <w:trPr>
          <w:trHeight w:val="720"/>
        </w:trPr>
        <w:tc>
          <w:tcPr>
            <w:tcW w:w="6480" w:type="dxa"/>
          </w:tcPr>
          <w:p w14:paraId="0463F7F3" w14:textId="3447EB71" w:rsidR="00500810" w:rsidRPr="00500810" w:rsidRDefault="00500810" w:rsidP="00500810">
            <w:pPr>
              <w:numPr>
                <w:ilvl w:val="0"/>
                <w:numId w:val="7"/>
              </w:numPr>
              <w:spacing w:after="0"/>
              <w:ind w:left="360"/>
              <w:contextualSpacing/>
              <w:rPr>
                <w:rFonts w:ascii="Arial" w:eastAsia="Times New Roman" w:hAnsi="Arial" w:cs="Arial"/>
                <w:b/>
                <w:bCs/>
                <w:i/>
                <w:iCs/>
                <w:color w:val="243F60" w:themeColor="accent1" w:themeShade="7F"/>
                <w:spacing w:val="-3"/>
                <w:sz w:val="24"/>
                <w:szCs w:val="24"/>
              </w:rPr>
            </w:pPr>
            <w:r w:rsidRPr="00500810">
              <w:rPr>
                <w:rFonts w:ascii="Arial" w:eastAsia="Times New Roman" w:hAnsi="Arial" w:cs="Arial"/>
                <w:spacing w:val="-3"/>
                <w:sz w:val="24"/>
                <w:szCs w:val="24"/>
              </w:rPr>
              <w:t>The organization/agency implements a Crisis Emergency Risk Communication (CERC) or media/public communications and messaging plan, including the dissemination of information via traditional and digital media</w:t>
            </w:r>
          </w:p>
        </w:tc>
        <w:tc>
          <w:tcPr>
            <w:tcW w:w="1471" w:type="dxa"/>
          </w:tcPr>
          <w:p w14:paraId="4F43F47E" w14:textId="43D122AC"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271" w:type="dxa"/>
          </w:tcPr>
          <w:p w14:paraId="7D075C50" w14:textId="492C0125"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074" w:type="dxa"/>
          </w:tcPr>
          <w:p w14:paraId="1E6D6166" w14:textId="3834BF0F"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940" w:type="dxa"/>
          </w:tcPr>
          <w:p w14:paraId="653E551A" w14:textId="5A927B63"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c>
          <w:tcPr>
            <w:tcW w:w="1831" w:type="dxa"/>
          </w:tcPr>
          <w:p w14:paraId="16DFE26E" w14:textId="4094761B" w:rsidR="00500810" w:rsidRPr="00500810" w:rsidRDefault="00500810" w:rsidP="00500810">
            <w:pPr>
              <w:spacing w:before="120" w:after="120" w:line="240" w:lineRule="auto"/>
              <w:rPr>
                <w:rFonts w:ascii="Arial" w:hAnsi="Arial" w:cs="Arial"/>
                <w:color w:val="FFFFFF" w:themeColor="background1"/>
                <w:sz w:val="24"/>
                <w:szCs w:val="24"/>
              </w:rPr>
            </w:pPr>
            <w:r w:rsidRPr="00500810">
              <w:rPr>
                <w:rFonts w:ascii="Arial" w:hAnsi="Arial" w:cs="Arial"/>
                <w:color w:val="FFFFFF" w:themeColor="background1"/>
                <w:sz w:val="24"/>
                <w:szCs w:val="24"/>
              </w:rPr>
              <w:t>Blank</w:t>
            </w:r>
          </w:p>
        </w:tc>
      </w:tr>
    </w:tbl>
    <w:p w14:paraId="7CD6EC09" w14:textId="635BEF0C" w:rsidR="00FB24A5" w:rsidRDefault="00FB24A5" w:rsidP="002E3284">
      <w:pPr>
        <w:spacing w:after="0" w:line="240" w:lineRule="auto"/>
        <w:rPr>
          <w:rFonts w:ascii="Arial" w:hAnsi="Arial" w:cs="Arial"/>
          <w:sz w:val="16"/>
          <w:szCs w:val="16"/>
        </w:rPr>
      </w:pPr>
    </w:p>
    <w:p w14:paraId="58EE785F" w14:textId="4F8CCC9F" w:rsidR="00A446A1" w:rsidRPr="00A446A1" w:rsidRDefault="00A446A1" w:rsidP="00A446A1">
      <w:pPr>
        <w:rPr>
          <w:rFonts w:ascii="Arial" w:hAnsi="Arial" w:cs="Arial"/>
          <w:sz w:val="16"/>
          <w:szCs w:val="16"/>
        </w:rPr>
      </w:pPr>
    </w:p>
    <w:p w14:paraId="6792D01E" w14:textId="0646FF5F" w:rsidR="00A446A1" w:rsidRPr="00A446A1" w:rsidRDefault="00A446A1" w:rsidP="00A446A1">
      <w:pPr>
        <w:rPr>
          <w:rFonts w:ascii="Arial" w:hAnsi="Arial" w:cs="Arial"/>
          <w:sz w:val="16"/>
          <w:szCs w:val="16"/>
        </w:rPr>
      </w:pPr>
    </w:p>
    <w:p w14:paraId="6CBF8546" w14:textId="0A68BD41" w:rsidR="00A446A1" w:rsidRPr="00A446A1" w:rsidRDefault="00A446A1" w:rsidP="00A446A1">
      <w:pPr>
        <w:rPr>
          <w:rFonts w:ascii="Arial" w:hAnsi="Arial" w:cs="Arial"/>
          <w:sz w:val="16"/>
          <w:szCs w:val="16"/>
        </w:rPr>
      </w:pPr>
    </w:p>
    <w:p w14:paraId="6F310C99" w14:textId="47BD4D4E" w:rsidR="00A446A1" w:rsidRDefault="00A446A1" w:rsidP="00A446A1">
      <w:pPr>
        <w:rPr>
          <w:rFonts w:ascii="Arial" w:hAnsi="Arial" w:cs="Arial"/>
          <w:sz w:val="16"/>
          <w:szCs w:val="16"/>
        </w:rPr>
      </w:pPr>
    </w:p>
    <w:p w14:paraId="444B8FC3" w14:textId="77777777" w:rsidR="00A446A1" w:rsidRPr="00A446A1" w:rsidRDefault="00A446A1" w:rsidP="00A446A1">
      <w:pPr>
        <w:tabs>
          <w:tab w:val="left" w:pos="1110"/>
        </w:tabs>
        <w:rPr>
          <w:rFonts w:ascii="Arial" w:hAnsi="Arial" w:cs="Arial"/>
          <w:sz w:val="16"/>
          <w:szCs w:val="16"/>
        </w:rPr>
      </w:pPr>
      <w:r>
        <w:rPr>
          <w:rFonts w:ascii="Arial" w:hAnsi="Arial" w:cs="Arial"/>
          <w:sz w:val="16"/>
          <w:szCs w:val="16"/>
        </w:rPr>
        <w:tab/>
      </w:r>
    </w:p>
    <w:sectPr w:rsidR="00A446A1" w:rsidRPr="00A446A1" w:rsidSect="002F096A">
      <w:headerReference w:type="default" r:id="rId12"/>
      <w:footerReference w:type="even" r:id="rId13"/>
      <w:footerReference w:type="default" r:id="rId14"/>
      <w:pgSz w:w="15840" w:h="12240" w:orient="landscape" w:code="1"/>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BB140" w14:textId="77777777" w:rsidR="0042347A" w:rsidRDefault="0042347A" w:rsidP="00D8072D">
      <w:pPr>
        <w:spacing w:after="0" w:line="240" w:lineRule="auto"/>
      </w:pPr>
      <w:r>
        <w:separator/>
      </w:r>
    </w:p>
  </w:endnote>
  <w:endnote w:type="continuationSeparator" w:id="0">
    <w:p w14:paraId="54AD9DF1" w14:textId="77777777" w:rsidR="0042347A" w:rsidRDefault="0042347A" w:rsidP="00D8072D">
      <w:pPr>
        <w:spacing w:after="0" w:line="240" w:lineRule="auto"/>
      </w:pPr>
      <w:r>
        <w:continuationSeparator/>
      </w:r>
    </w:p>
  </w:endnote>
  <w:endnote w:type="continuationNotice" w:id="1">
    <w:p w14:paraId="0FD6AAD4" w14:textId="77777777" w:rsidR="0042347A" w:rsidRDefault="00423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19DB" w14:textId="77777777" w:rsidR="00494270" w:rsidRDefault="00494270" w:rsidP="00654C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3D0E1B" w14:textId="77777777" w:rsidR="00494270" w:rsidRDefault="00494270" w:rsidP="00CF57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8F00" w14:textId="61D02136" w:rsidR="00494270" w:rsidRPr="00500810" w:rsidRDefault="00494270" w:rsidP="00CF57B1">
    <w:pPr>
      <w:pStyle w:val="Footer"/>
      <w:framePr w:wrap="around" w:vAnchor="text" w:hAnchor="margin" w:xAlign="right" w:y="1"/>
      <w:jc w:val="both"/>
      <w:rPr>
        <w:rStyle w:val="PageNumber"/>
        <w:rFonts w:ascii="Arial" w:hAnsi="Arial" w:cs="Arial"/>
        <w:color w:val="002060"/>
        <w:sz w:val="24"/>
        <w:szCs w:val="24"/>
      </w:rPr>
    </w:pPr>
    <w:r w:rsidRPr="00500810">
      <w:rPr>
        <w:rStyle w:val="PageNumber"/>
        <w:rFonts w:ascii="Arial" w:hAnsi="Arial" w:cs="Arial"/>
        <w:color w:val="002060"/>
        <w:sz w:val="24"/>
        <w:szCs w:val="24"/>
      </w:rPr>
      <w:fldChar w:fldCharType="begin"/>
    </w:r>
    <w:r w:rsidRPr="00500810">
      <w:rPr>
        <w:rStyle w:val="PageNumber"/>
        <w:rFonts w:ascii="Arial" w:hAnsi="Arial" w:cs="Arial"/>
        <w:color w:val="002060"/>
        <w:sz w:val="24"/>
        <w:szCs w:val="24"/>
      </w:rPr>
      <w:instrText xml:space="preserve">PAGE  </w:instrText>
    </w:r>
    <w:r w:rsidRPr="00500810">
      <w:rPr>
        <w:rStyle w:val="PageNumber"/>
        <w:rFonts w:ascii="Arial" w:hAnsi="Arial" w:cs="Arial"/>
        <w:color w:val="002060"/>
        <w:sz w:val="24"/>
        <w:szCs w:val="24"/>
      </w:rPr>
      <w:fldChar w:fldCharType="separate"/>
    </w:r>
    <w:r w:rsidR="0072045B" w:rsidRPr="00500810">
      <w:rPr>
        <w:rStyle w:val="PageNumber"/>
        <w:rFonts w:ascii="Arial" w:hAnsi="Arial" w:cs="Arial"/>
        <w:noProof/>
        <w:color w:val="002060"/>
        <w:sz w:val="24"/>
        <w:szCs w:val="24"/>
      </w:rPr>
      <w:t>1</w:t>
    </w:r>
    <w:r w:rsidRPr="00500810">
      <w:rPr>
        <w:rStyle w:val="PageNumber"/>
        <w:rFonts w:ascii="Arial" w:hAnsi="Arial" w:cs="Arial"/>
        <w:color w:val="002060"/>
        <w:sz w:val="24"/>
        <w:szCs w:val="24"/>
      </w:rPr>
      <w:fldChar w:fldCharType="end"/>
    </w:r>
  </w:p>
  <w:p w14:paraId="14F033B4" w14:textId="5B77F62F" w:rsidR="00241B87" w:rsidRDefault="00241B87" w:rsidP="00241B87">
    <w:pPr>
      <w:pStyle w:val="Footer"/>
      <w:ind w:right="360" w:hanging="180"/>
      <w:rPr>
        <w:rFonts w:ascii="Arial" w:hAnsi="Arial" w:cs="Arial"/>
        <w:sz w:val="20"/>
        <w:szCs w:val="20"/>
      </w:rPr>
    </w:pPr>
  </w:p>
  <w:p w14:paraId="68EBB16A" w14:textId="3AB7D14E" w:rsidR="00494270" w:rsidRPr="00D8072D" w:rsidRDefault="00A446A1" w:rsidP="00CF57B1">
    <w:pPr>
      <w:pStyle w:val="Footer"/>
      <w:tabs>
        <w:tab w:val="clear" w:pos="4680"/>
        <w:tab w:val="clear" w:pos="9360"/>
        <w:tab w:val="center" w:pos="6120"/>
        <w:tab w:val="right" w:pos="12240"/>
      </w:tabs>
      <w:ind w:right="360"/>
      <w:rPr>
        <w:rFonts w:ascii="Arial" w:hAnsi="Arial" w:cs="Arial"/>
        <w:sz w:val="16"/>
        <w:szCs w:val="16"/>
      </w:rPr>
    </w:pPr>
    <w:r>
      <w:rPr>
        <w:noProof/>
      </w:rPr>
      <w:drawing>
        <wp:inline distT="0" distB="0" distL="0" distR="0" wp14:anchorId="7824CBBD" wp14:editId="067F8924">
          <wp:extent cx="495963" cy="416243"/>
          <wp:effectExtent l="0" t="0" r="0" b="3175"/>
          <wp:docPr id="1" name="Picture 1" title="California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title="California Department of Public Healt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963" cy="416243"/>
                  </a:xfrm>
                  <a:prstGeom prst="rect">
                    <a:avLst/>
                  </a:prstGeom>
                </pic:spPr>
              </pic:pic>
            </a:graphicData>
          </a:graphic>
        </wp:inline>
      </w:drawing>
    </w:r>
    <w:r>
      <w:rPr>
        <w:noProof/>
      </w:rPr>
      <w:drawing>
        <wp:inline distT="0" distB="0" distL="0" distR="0" wp14:anchorId="38E573F4" wp14:editId="559E3094">
          <wp:extent cx="485053" cy="475615"/>
          <wp:effectExtent l="0" t="0" r="0" b="635"/>
          <wp:docPr id="2" name="Picture 2" descr="EMSA logo" title="Emergency Medical Servic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MSA logo" title="Emergency Medical Services Authority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053" cy="4756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6EB76" w14:textId="77777777" w:rsidR="0042347A" w:rsidRDefault="0042347A" w:rsidP="00D8072D">
      <w:pPr>
        <w:spacing w:after="0" w:line="240" w:lineRule="auto"/>
      </w:pPr>
      <w:r>
        <w:separator/>
      </w:r>
    </w:p>
  </w:footnote>
  <w:footnote w:type="continuationSeparator" w:id="0">
    <w:p w14:paraId="71BAC9E0" w14:textId="77777777" w:rsidR="0042347A" w:rsidRDefault="0042347A" w:rsidP="00D8072D">
      <w:pPr>
        <w:spacing w:after="0" w:line="240" w:lineRule="auto"/>
      </w:pPr>
      <w:r>
        <w:continuationSeparator/>
      </w:r>
    </w:p>
  </w:footnote>
  <w:footnote w:type="continuationNotice" w:id="1">
    <w:p w14:paraId="0BE8B161" w14:textId="77777777" w:rsidR="0042347A" w:rsidRDefault="004234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B624" w14:textId="2171CB5F" w:rsidR="00494270" w:rsidRPr="00500810" w:rsidRDefault="00A446A1" w:rsidP="00D225A3">
    <w:pPr>
      <w:pStyle w:val="Header"/>
      <w:rPr>
        <w:rFonts w:ascii="Arial" w:hAnsi="Arial"/>
        <w:color w:val="002060"/>
        <w:sz w:val="24"/>
        <w:szCs w:val="24"/>
      </w:rPr>
    </w:pPr>
    <w:r w:rsidRPr="00500810">
      <w:rPr>
        <w:rFonts w:ascii="Arial" w:hAnsi="Arial"/>
        <w:noProof/>
        <w:color w:val="002060"/>
        <w:sz w:val="24"/>
        <w:szCs w:val="24"/>
      </w:rPr>
      <w:t>2023</w:t>
    </w:r>
    <w:r w:rsidRPr="00500810">
      <w:rPr>
        <w:color w:val="002060"/>
        <w:sz w:val="24"/>
        <w:szCs w:val="24"/>
      </w:rPr>
      <w:t xml:space="preserve"> </w:t>
    </w:r>
    <w:r w:rsidRPr="00500810">
      <w:rPr>
        <w:rFonts w:ascii="Arial" w:hAnsi="Arial"/>
        <w:color w:val="002060"/>
        <w:sz w:val="24"/>
        <w:szCs w:val="24"/>
      </w:rPr>
      <w:t>Statewide Medical and Health Exercise</w:t>
    </w:r>
  </w:p>
  <w:p w14:paraId="78E46A46" w14:textId="4B42F0FA" w:rsidR="00494270" w:rsidRPr="00500810" w:rsidRDefault="00A446A1" w:rsidP="0089117D">
    <w:pPr>
      <w:pStyle w:val="Header"/>
      <w:rPr>
        <w:rFonts w:ascii="Arial" w:hAnsi="Arial"/>
        <w:color w:val="002060"/>
        <w:sz w:val="24"/>
        <w:szCs w:val="24"/>
      </w:rPr>
    </w:pPr>
    <w:r w:rsidRPr="00500810">
      <w:rPr>
        <w:rFonts w:ascii="Arial" w:hAnsi="Arial"/>
        <w:color w:val="002060"/>
        <w:sz w:val="24"/>
        <w:szCs w:val="24"/>
      </w:rPr>
      <w:t xml:space="preserve">Public Safety Self-Assessment </w:t>
    </w:r>
  </w:p>
  <w:p w14:paraId="3DDC7F7D" w14:textId="77777777" w:rsidR="00494270" w:rsidRPr="00DE10A6" w:rsidRDefault="00494270" w:rsidP="0089117D">
    <w:pPr>
      <w:pStyle w:val="Header"/>
      <w:rPr>
        <w:rFonts w:ascii="Arial" w:hAnsi="Arial"/>
        <w:color w:val="E46E23"/>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361F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225E05"/>
    <w:multiLevelType w:val="hybridMultilevel"/>
    <w:tmpl w:val="5B763A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E315CBD"/>
    <w:multiLevelType w:val="hybridMultilevel"/>
    <w:tmpl w:val="D1DCA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D5F71"/>
    <w:multiLevelType w:val="hybridMultilevel"/>
    <w:tmpl w:val="D1DCA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BD5FDB"/>
    <w:multiLevelType w:val="hybridMultilevel"/>
    <w:tmpl w:val="8AB6DEAA"/>
    <w:lvl w:ilvl="0" w:tplc="A72EF972">
      <w:start w:val="1"/>
      <w:numFmt w:val="decimal"/>
      <w:lvlText w:val="%1."/>
      <w:lvlJc w:val="left"/>
      <w:pPr>
        <w:ind w:left="720" w:hanging="360"/>
      </w:pPr>
      <w:rPr>
        <w:rFonts w:cs="Times New Roman"/>
        <w:i w:val="0"/>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6D17F64"/>
    <w:multiLevelType w:val="hybridMultilevel"/>
    <w:tmpl w:val="2580FB0A"/>
    <w:lvl w:ilvl="0" w:tplc="52726FAC">
      <w:start w:val="1"/>
      <w:numFmt w:val="decimal"/>
      <w:lvlText w:val="%1."/>
      <w:lvlJc w:val="left"/>
      <w:pPr>
        <w:ind w:left="720" w:hanging="360"/>
      </w:pPr>
      <w:rPr>
        <w:rFonts w:cs="Times New Roman"/>
        <w:i w:val="0"/>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CD53E09"/>
    <w:multiLevelType w:val="hybridMultilevel"/>
    <w:tmpl w:val="D1DCA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33C48"/>
    <w:multiLevelType w:val="hybridMultilevel"/>
    <w:tmpl w:val="B0DC69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1"/>
  </w:num>
  <w:num w:numId="3">
    <w:abstractNumId w:val="3"/>
  </w:num>
  <w:num w:numId="4">
    <w:abstractNumId w:val="2"/>
  </w:num>
  <w:num w:numId="5">
    <w:abstractNumId w:val="6"/>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2D"/>
    <w:rsid w:val="0002093C"/>
    <w:rsid w:val="000673AF"/>
    <w:rsid w:val="00081198"/>
    <w:rsid w:val="000A087F"/>
    <w:rsid w:val="000A1FF8"/>
    <w:rsid w:val="000A7563"/>
    <w:rsid w:val="000C0792"/>
    <w:rsid w:val="000C6C65"/>
    <w:rsid w:val="000C7B93"/>
    <w:rsid w:val="000D0879"/>
    <w:rsid w:val="001049FB"/>
    <w:rsid w:val="001107E7"/>
    <w:rsid w:val="001114C4"/>
    <w:rsid w:val="0011382F"/>
    <w:rsid w:val="0011503F"/>
    <w:rsid w:val="00116518"/>
    <w:rsid w:val="00135789"/>
    <w:rsid w:val="0013728E"/>
    <w:rsid w:val="00150B6B"/>
    <w:rsid w:val="0016586F"/>
    <w:rsid w:val="001660AE"/>
    <w:rsid w:val="001819B1"/>
    <w:rsid w:val="00182367"/>
    <w:rsid w:val="001978AE"/>
    <w:rsid w:val="001B7762"/>
    <w:rsid w:val="001C534B"/>
    <w:rsid w:val="001D62D4"/>
    <w:rsid w:val="001E301A"/>
    <w:rsid w:val="001E729A"/>
    <w:rsid w:val="001E74B2"/>
    <w:rsid w:val="001F193A"/>
    <w:rsid w:val="00204095"/>
    <w:rsid w:val="00210169"/>
    <w:rsid w:val="002218A2"/>
    <w:rsid w:val="0023365E"/>
    <w:rsid w:val="00236B3B"/>
    <w:rsid w:val="00241B87"/>
    <w:rsid w:val="002428F8"/>
    <w:rsid w:val="00252C14"/>
    <w:rsid w:val="00253169"/>
    <w:rsid w:val="00256A92"/>
    <w:rsid w:val="00256C5D"/>
    <w:rsid w:val="00271781"/>
    <w:rsid w:val="00271D33"/>
    <w:rsid w:val="00282908"/>
    <w:rsid w:val="00283F3D"/>
    <w:rsid w:val="00284F0C"/>
    <w:rsid w:val="00290548"/>
    <w:rsid w:val="002C0054"/>
    <w:rsid w:val="002C209C"/>
    <w:rsid w:val="002C568E"/>
    <w:rsid w:val="002E3284"/>
    <w:rsid w:val="002E3C42"/>
    <w:rsid w:val="002F096A"/>
    <w:rsid w:val="00313928"/>
    <w:rsid w:val="00324470"/>
    <w:rsid w:val="00327D78"/>
    <w:rsid w:val="00332B74"/>
    <w:rsid w:val="0034027A"/>
    <w:rsid w:val="003420D1"/>
    <w:rsid w:val="003437E3"/>
    <w:rsid w:val="00343C6B"/>
    <w:rsid w:val="00343EEA"/>
    <w:rsid w:val="00347D21"/>
    <w:rsid w:val="003534F8"/>
    <w:rsid w:val="00356412"/>
    <w:rsid w:val="003675E9"/>
    <w:rsid w:val="00370B54"/>
    <w:rsid w:val="0038406A"/>
    <w:rsid w:val="003A77BF"/>
    <w:rsid w:val="003B0E5B"/>
    <w:rsid w:val="003B5873"/>
    <w:rsid w:val="003D6584"/>
    <w:rsid w:val="003F2370"/>
    <w:rsid w:val="003F26C5"/>
    <w:rsid w:val="003F7A44"/>
    <w:rsid w:val="00400987"/>
    <w:rsid w:val="00404AD7"/>
    <w:rsid w:val="00417754"/>
    <w:rsid w:val="0042314E"/>
    <w:rsid w:val="0042347A"/>
    <w:rsid w:val="004262A4"/>
    <w:rsid w:val="00434713"/>
    <w:rsid w:val="0043623F"/>
    <w:rsid w:val="00436BF3"/>
    <w:rsid w:val="00466E74"/>
    <w:rsid w:val="00466F0C"/>
    <w:rsid w:val="00494270"/>
    <w:rsid w:val="004975C6"/>
    <w:rsid w:val="004A06BD"/>
    <w:rsid w:val="004A1F03"/>
    <w:rsid w:val="004A5AB0"/>
    <w:rsid w:val="004A612B"/>
    <w:rsid w:val="004B0AC8"/>
    <w:rsid w:val="004B0B7B"/>
    <w:rsid w:val="004B37A0"/>
    <w:rsid w:val="004B3ED4"/>
    <w:rsid w:val="004C5BFB"/>
    <w:rsid w:val="004D1F26"/>
    <w:rsid w:val="004D586B"/>
    <w:rsid w:val="00500810"/>
    <w:rsid w:val="0051112A"/>
    <w:rsid w:val="005167E6"/>
    <w:rsid w:val="00530AA0"/>
    <w:rsid w:val="00540975"/>
    <w:rsid w:val="0054124E"/>
    <w:rsid w:val="005516A1"/>
    <w:rsid w:val="00551EA8"/>
    <w:rsid w:val="005528BB"/>
    <w:rsid w:val="00552BBB"/>
    <w:rsid w:val="00574CD0"/>
    <w:rsid w:val="00580E24"/>
    <w:rsid w:val="00582024"/>
    <w:rsid w:val="0058655A"/>
    <w:rsid w:val="00587116"/>
    <w:rsid w:val="0058764C"/>
    <w:rsid w:val="00590963"/>
    <w:rsid w:val="00596078"/>
    <w:rsid w:val="005B1400"/>
    <w:rsid w:val="005C2956"/>
    <w:rsid w:val="005C2FC7"/>
    <w:rsid w:val="005C4ABD"/>
    <w:rsid w:val="005D53A5"/>
    <w:rsid w:val="005E2E99"/>
    <w:rsid w:val="005E4BCC"/>
    <w:rsid w:val="005E74BA"/>
    <w:rsid w:val="005F7D8D"/>
    <w:rsid w:val="00605D9C"/>
    <w:rsid w:val="00620639"/>
    <w:rsid w:val="00626B89"/>
    <w:rsid w:val="0064137C"/>
    <w:rsid w:val="0064141E"/>
    <w:rsid w:val="00641A61"/>
    <w:rsid w:val="006521E2"/>
    <w:rsid w:val="00653438"/>
    <w:rsid w:val="00654C30"/>
    <w:rsid w:val="00657632"/>
    <w:rsid w:val="00667E15"/>
    <w:rsid w:val="0067096B"/>
    <w:rsid w:val="00676763"/>
    <w:rsid w:val="006927FE"/>
    <w:rsid w:val="006A0D2E"/>
    <w:rsid w:val="006B6751"/>
    <w:rsid w:val="006C06D9"/>
    <w:rsid w:val="006C377A"/>
    <w:rsid w:val="006C3EB7"/>
    <w:rsid w:val="006C4A4A"/>
    <w:rsid w:val="006D2F86"/>
    <w:rsid w:val="006D7024"/>
    <w:rsid w:val="006F3734"/>
    <w:rsid w:val="007140D9"/>
    <w:rsid w:val="0072045B"/>
    <w:rsid w:val="007240B2"/>
    <w:rsid w:val="0072771C"/>
    <w:rsid w:val="00737F59"/>
    <w:rsid w:val="007463D7"/>
    <w:rsid w:val="00746EC5"/>
    <w:rsid w:val="0075391B"/>
    <w:rsid w:val="00766DDE"/>
    <w:rsid w:val="0079093C"/>
    <w:rsid w:val="007A4518"/>
    <w:rsid w:val="007A7735"/>
    <w:rsid w:val="007D6C33"/>
    <w:rsid w:val="007F0A56"/>
    <w:rsid w:val="00811C75"/>
    <w:rsid w:val="00817552"/>
    <w:rsid w:val="00822B72"/>
    <w:rsid w:val="00824DD4"/>
    <w:rsid w:val="008400D0"/>
    <w:rsid w:val="00871AF7"/>
    <w:rsid w:val="00874C57"/>
    <w:rsid w:val="00881142"/>
    <w:rsid w:val="0089117D"/>
    <w:rsid w:val="00892908"/>
    <w:rsid w:val="008A2CB8"/>
    <w:rsid w:val="008A7E4F"/>
    <w:rsid w:val="008C6F5E"/>
    <w:rsid w:val="008D06E5"/>
    <w:rsid w:val="00902D59"/>
    <w:rsid w:val="00920AF7"/>
    <w:rsid w:val="00924E18"/>
    <w:rsid w:val="009335CC"/>
    <w:rsid w:val="00956B9A"/>
    <w:rsid w:val="00986D82"/>
    <w:rsid w:val="009878FD"/>
    <w:rsid w:val="00990928"/>
    <w:rsid w:val="009A717C"/>
    <w:rsid w:val="009C4786"/>
    <w:rsid w:val="009E1E5D"/>
    <w:rsid w:val="009E2DEB"/>
    <w:rsid w:val="009E3A9E"/>
    <w:rsid w:val="009E6AD4"/>
    <w:rsid w:val="009F6D92"/>
    <w:rsid w:val="00A02539"/>
    <w:rsid w:val="00A0341F"/>
    <w:rsid w:val="00A03999"/>
    <w:rsid w:val="00A10C94"/>
    <w:rsid w:val="00A1167F"/>
    <w:rsid w:val="00A22A84"/>
    <w:rsid w:val="00A32AF7"/>
    <w:rsid w:val="00A37A74"/>
    <w:rsid w:val="00A43D92"/>
    <w:rsid w:val="00A446A1"/>
    <w:rsid w:val="00A457EA"/>
    <w:rsid w:val="00A5327C"/>
    <w:rsid w:val="00A85298"/>
    <w:rsid w:val="00A857AC"/>
    <w:rsid w:val="00A955A6"/>
    <w:rsid w:val="00AA0EAC"/>
    <w:rsid w:val="00AA308F"/>
    <w:rsid w:val="00AA41BF"/>
    <w:rsid w:val="00AB5F1A"/>
    <w:rsid w:val="00AD5B3B"/>
    <w:rsid w:val="00AD711F"/>
    <w:rsid w:val="00AD7C3F"/>
    <w:rsid w:val="00AF2639"/>
    <w:rsid w:val="00AF3A8F"/>
    <w:rsid w:val="00AF55A8"/>
    <w:rsid w:val="00AF5713"/>
    <w:rsid w:val="00AF5AD6"/>
    <w:rsid w:val="00B019AB"/>
    <w:rsid w:val="00B060AB"/>
    <w:rsid w:val="00B0636E"/>
    <w:rsid w:val="00B13BAD"/>
    <w:rsid w:val="00B34BFD"/>
    <w:rsid w:val="00B3540E"/>
    <w:rsid w:val="00B35C14"/>
    <w:rsid w:val="00B43D2C"/>
    <w:rsid w:val="00B4664E"/>
    <w:rsid w:val="00B769A8"/>
    <w:rsid w:val="00B80E7B"/>
    <w:rsid w:val="00B83C6C"/>
    <w:rsid w:val="00B934BF"/>
    <w:rsid w:val="00BA0684"/>
    <w:rsid w:val="00BB1CD9"/>
    <w:rsid w:val="00BC25F3"/>
    <w:rsid w:val="00BC2B2D"/>
    <w:rsid w:val="00BC6A39"/>
    <w:rsid w:val="00BD24E5"/>
    <w:rsid w:val="00BD74F1"/>
    <w:rsid w:val="00BF14C5"/>
    <w:rsid w:val="00BF42F3"/>
    <w:rsid w:val="00C010E6"/>
    <w:rsid w:val="00C13F54"/>
    <w:rsid w:val="00C1644F"/>
    <w:rsid w:val="00C503C7"/>
    <w:rsid w:val="00C66E1F"/>
    <w:rsid w:val="00C77B18"/>
    <w:rsid w:val="00C860A5"/>
    <w:rsid w:val="00C94B09"/>
    <w:rsid w:val="00C94BCD"/>
    <w:rsid w:val="00CB054B"/>
    <w:rsid w:val="00CB4C24"/>
    <w:rsid w:val="00CC0B2D"/>
    <w:rsid w:val="00CC2CFB"/>
    <w:rsid w:val="00CF476B"/>
    <w:rsid w:val="00CF57B1"/>
    <w:rsid w:val="00CF6174"/>
    <w:rsid w:val="00D034D5"/>
    <w:rsid w:val="00D04039"/>
    <w:rsid w:val="00D16DB0"/>
    <w:rsid w:val="00D225A3"/>
    <w:rsid w:val="00D41B79"/>
    <w:rsid w:val="00D420EC"/>
    <w:rsid w:val="00D42887"/>
    <w:rsid w:val="00D43F53"/>
    <w:rsid w:val="00D534E7"/>
    <w:rsid w:val="00D53AFA"/>
    <w:rsid w:val="00D613EA"/>
    <w:rsid w:val="00D64117"/>
    <w:rsid w:val="00D8072D"/>
    <w:rsid w:val="00D96850"/>
    <w:rsid w:val="00DA16E7"/>
    <w:rsid w:val="00DB7039"/>
    <w:rsid w:val="00DC4D0D"/>
    <w:rsid w:val="00DC6D3F"/>
    <w:rsid w:val="00DD1E20"/>
    <w:rsid w:val="00DD3BFD"/>
    <w:rsid w:val="00DE10A6"/>
    <w:rsid w:val="00DE2DD1"/>
    <w:rsid w:val="00DF1385"/>
    <w:rsid w:val="00E1379A"/>
    <w:rsid w:val="00E41C16"/>
    <w:rsid w:val="00E436EC"/>
    <w:rsid w:val="00E51DB3"/>
    <w:rsid w:val="00E55A7F"/>
    <w:rsid w:val="00E571D3"/>
    <w:rsid w:val="00E60095"/>
    <w:rsid w:val="00E633D9"/>
    <w:rsid w:val="00E6575C"/>
    <w:rsid w:val="00E77597"/>
    <w:rsid w:val="00E83EB7"/>
    <w:rsid w:val="00E95471"/>
    <w:rsid w:val="00EA2C32"/>
    <w:rsid w:val="00EA6CFE"/>
    <w:rsid w:val="00EC40CB"/>
    <w:rsid w:val="00EC5424"/>
    <w:rsid w:val="00EC7B67"/>
    <w:rsid w:val="00EC7FF4"/>
    <w:rsid w:val="00ED2E72"/>
    <w:rsid w:val="00ED7644"/>
    <w:rsid w:val="00EE0A10"/>
    <w:rsid w:val="00EE4505"/>
    <w:rsid w:val="00EF0741"/>
    <w:rsid w:val="00EF6F14"/>
    <w:rsid w:val="00F152ED"/>
    <w:rsid w:val="00F26D0A"/>
    <w:rsid w:val="00F300B4"/>
    <w:rsid w:val="00F363C6"/>
    <w:rsid w:val="00F44165"/>
    <w:rsid w:val="00F521DB"/>
    <w:rsid w:val="00F566DF"/>
    <w:rsid w:val="00F57919"/>
    <w:rsid w:val="00F64453"/>
    <w:rsid w:val="00F82DA4"/>
    <w:rsid w:val="00F901A2"/>
    <w:rsid w:val="00F91B75"/>
    <w:rsid w:val="00F95127"/>
    <w:rsid w:val="00FA7967"/>
    <w:rsid w:val="00FB24A5"/>
    <w:rsid w:val="00FB67AF"/>
    <w:rsid w:val="00FC3599"/>
    <w:rsid w:val="00FD1427"/>
    <w:rsid w:val="00FD3138"/>
    <w:rsid w:val="00FE1BF0"/>
    <w:rsid w:val="00FF3B78"/>
    <w:rsid w:val="00FF5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B7A36E6"/>
  <w14:defaultImageDpi w14:val="300"/>
  <w15:docId w15:val="{21D8A012-B9B1-4A4C-87C3-9E270D77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5E9"/>
    <w:pPr>
      <w:spacing w:after="200" w:line="276" w:lineRule="auto"/>
    </w:pPr>
    <w:rPr>
      <w:sz w:val="22"/>
      <w:szCs w:val="22"/>
    </w:rPr>
  </w:style>
  <w:style w:type="paragraph" w:styleId="Heading4">
    <w:name w:val="heading 4"/>
    <w:basedOn w:val="Normal"/>
    <w:next w:val="Normal"/>
    <w:link w:val="Heading4Char"/>
    <w:qFormat/>
    <w:rsid w:val="00D8072D"/>
    <w:pPr>
      <w:framePr w:hSpace="187" w:wrap="around" w:vAnchor="page" w:hAnchor="page" w:xAlign="center" w:y="3504"/>
      <w:spacing w:after="0" w:line="240" w:lineRule="auto"/>
      <w:jc w:val="center"/>
      <w:outlineLvl w:val="3"/>
    </w:pPr>
    <w:rPr>
      <w:rFonts w:ascii="Century Gothic" w:eastAsia="Times New Roman" w:hAnsi="Century Gothic"/>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72D"/>
  </w:style>
  <w:style w:type="paragraph" w:styleId="Footer">
    <w:name w:val="footer"/>
    <w:basedOn w:val="Normal"/>
    <w:link w:val="FooterChar"/>
    <w:unhideWhenUsed/>
    <w:rsid w:val="00D8072D"/>
    <w:pPr>
      <w:tabs>
        <w:tab w:val="center" w:pos="4680"/>
        <w:tab w:val="right" w:pos="9360"/>
      </w:tabs>
      <w:spacing w:after="0" w:line="240" w:lineRule="auto"/>
    </w:pPr>
  </w:style>
  <w:style w:type="character" w:customStyle="1" w:styleId="FooterChar">
    <w:name w:val="Footer Char"/>
    <w:basedOn w:val="DefaultParagraphFont"/>
    <w:link w:val="Footer"/>
    <w:rsid w:val="00D8072D"/>
  </w:style>
  <w:style w:type="paragraph" w:styleId="BalloonText">
    <w:name w:val="Balloon Text"/>
    <w:basedOn w:val="Normal"/>
    <w:link w:val="BalloonTextChar"/>
    <w:uiPriority w:val="99"/>
    <w:semiHidden/>
    <w:unhideWhenUsed/>
    <w:rsid w:val="00D807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072D"/>
    <w:rPr>
      <w:rFonts w:ascii="Tahoma" w:hAnsi="Tahoma" w:cs="Tahoma"/>
      <w:sz w:val="16"/>
      <w:szCs w:val="16"/>
    </w:rPr>
  </w:style>
  <w:style w:type="character" w:customStyle="1" w:styleId="Heading4Char">
    <w:name w:val="Heading 4 Char"/>
    <w:link w:val="Heading4"/>
    <w:rsid w:val="00D8072D"/>
    <w:rPr>
      <w:rFonts w:ascii="Century Gothic" w:eastAsia="Times New Roman" w:hAnsi="Century Gothic" w:cs="Times New Roman"/>
      <w:sz w:val="16"/>
      <w:szCs w:val="24"/>
    </w:rPr>
  </w:style>
  <w:style w:type="table" w:styleId="TableGrid">
    <w:name w:val="Table Grid"/>
    <w:basedOn w:val="TableNormal"/>
    <w:uiPriority w:val="59"/>
    <w:rsid w:val="00D80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qFormat/>
    <w:rsid w:val="00116518"/>
    <w:pPr>
      <w:spacing w:after="0" w:line="240" w:lineRule="auto"/>
      <w:ind w:left="720"/>
      <w:contextualSpacing/>
    </w:pPr>
    <w:rPr>
      <w:rFonts w:ascii="Century Gothic" w:eastAsia="Times New Roman" w:hAnsi="Century Gothic"/>
      <w:sz w:val="16"/>
      <w:szCs w:val="24"/>
    </w:rPr>
  </w:style>
  <w:style w:type="paragraph" w:styleId="DocumentMap">
    <w:name w:val="Document Map"/>
    <w:basedOn w:val="Normal"/>
    <w:semiHidden/>
    <w:rsid w:val="00C66E1F"/>
    <w:pPr>
      <w:shd w:val="clear" w:color="auto" w:fill="000080"/>
    </w:pPr>
    <w:rPr>
      <w:rFonts w:ascii="Tahoma" w:hAnsi="Tahoma" w:cs="Tahoma"/>
      <w:sz w:val="20"/>
      <w:szCs w:val="20"/>
    </w:rPr>
  </w:style>
  <w:style w:type="character" w:styleId="PageNumber">
    <w:name w:val="page number"/>
    <w:semiHidden/>
    <w:unhideWhenUsed/>
    <w:rsid w:val="001107E7"/>
  </w:style>
  <w:style w:type="character" w:styleId="CommentReference">
    <w:name w:val="annotation reference"/>
    <w:uiPriority w:val="99"/>
    <w:semiHidden/>
    <w:unhideWhenUsed/>
    <w:rsid w:val="00ED7644"/>
    <w:rPr>
      <w:sz w:val="16"/>
      <w:szCs w:val="16"/>
    </w:rPr>
  </w:style>
  <w:style w:type="paragraph" w:styleId="CommentText">
    <w:name w:val="annotation text"/>
    <w:basedOn w:val="Normal"/>
    <w:link w:val="CommentTextChar"/>
    <w:uiPriority w:val="99"/>
    <w:semiHidden/>
    <w:unhideWhenUsed/>
    <w:rsid w:val="00ED7644"/>
    <w:rPr>
      <w:sz w:val="20"/>
      <w:szCs w:val="20"/>
    </w:rPr>
  </w:style>
  <w:style w:type="character" w:customStyle="1" w:styleId="CommentTextChar">
    <w:name w:val="Comment Text Char"/>
    <w:link w:val="CommentText"/>
    <w:uiPriority w:val="99"/>
    <w:semiHidden/>
    <w:rsid w:val="00ED7644"/>
    <w:rPr>
      <w:lang w:eastAsia="en-US"/>
    </w:rPr>
  </w:style>
  <w:style w:type="paragraph" w:styleId="CommentSubject">
    <w:name w:val="annotation subject"/>
    <w:basedOn w:val="CommentText"/>
    <w:next w:val="CommentText"/>
    <w:link w:val="CommentSubjectChar"/>
    <w:uiPriority w:val="99"/>
    <w:semiHidden/>
    <w:unhideWhenUsed/>
    <w:rsid w:val="00ED7644"/>
    <w:rPr>
      <w:b/>
      <w:bCs/>
    </w:rPr>
  </w:style>
  <w:style w:type="character" w:customStyle="1" w:styleId="CommentSubjectChar">
    <w:name w:val="Comment Subject Char"/>
    <w:link w:val="CommentSubject"/>
    <w:uiPriority w:val="99"/>
    <w:semiHidden/>
    <w:rsid w:val="00ED7644"/>
    <w:rPr>
      <w:b/>
      <w:bCs/>
      <w:lang w:eastAsia="en-US"/>
    </w:rPr>
  </w:style>
  <w:style w:type="paragraph" w:styleId="Revision">
    <w:name w:val="Revision"/>
    <w:hidden/>
    <w:uiPriority w:val="99"/>
    <w:semiHidden/>
    <w:rsid w:val="00ED7644"/>
    <w:rPr>
      <w:sz w:val="22"/>
      <w:szCs w:val="22"/>
    </w:rPr>
  </w:style>
  <w:style w:type="paragraph" w:styleId="FootnoteText">
    <w:name w:val="footnote text"/>
    <w:basedOn w:val="Normal"/>
    <w:link w:val="FootnoteTextChar"/>
    <w:uiPriority w:val="99"/>
    <w:rsid w:val="00417754"/>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417754"/>
    <w:rPr>
      <w:rFonts w:ascii="Times New Roman" w:eastAsia="Times New Roman" w:hAnsi="Times New Roman"/>
    </w:rPr>
  </w:style>
  <w:style w:type="character" w:styleId="FootnoteReference">
    <w:name w:val="footnote reference"/>
    <w:uiPriority w:val="99"/>
    <w:rsid w:val="00417754"/>
    <w:rPr>
      <w:vertAlign w:val="superscript"/>
    </w:rPr>
  </w:style>
  <w:style w:type="paragraph" w:styleId="NormalWeb">
    <w:name w:val="Normal (Web)"/>
    <w:basedOn w:val="Normal"/>
    <w:uiPriority w:val="99"/>
    <w:semiHidden/>
    <w:unhideWhenUsed/>
    <w:rsid w:val="00E571D3"/>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B8F9B-7C07-469F-B7F6-AD3EF15DE22E}"/>
</file>

<file path=customXml/itemProps2.xml><?xml version="1.0" encoding="utf-8"?>
<ds:datastoreItem xmlns:ds="http://schemas.openxmlformats.org/officeDocument/2006/customXml" ds:itemID="{A9841755-E8FD-4E2A-9B14-5DE9982C5C0C}"/>
</file>

<file path=customXml/itemProps3.xml><?xml version="1.0" encoding="utf-8"?>
<ds:datastoreItem xmlns:ds="http://schemas.openxmlformats.org/officeDocument/2006/customXml" ds:itemID="{A4E5EE26-7068-40BD-8C34-F5D4C78EA28C}"/>
</file>

<file path=customXml/itemProps4.xml><?xml version="1.0" encoding="utf-8"?>
<ds:datastoreItem xmlns:ds="http://schemas.openxmlformats.org/officeDocument/2006/customXml" ds:itemID="{CFDCE398-2004-4A7D-80E6-74B61B934E45}"/>
</file>

<file path=customXml/itemProps5.xml><?xml version="1.0" encoding="utf-8"?>
<ds:datastoreItem xmlns:ds="http://schemas.openxmlformats.org/officeDocument/2006/customXml" ds:itemID="{152ED550-D86E-4D88-B06F-5FC465F0A335}"/>
</file>

<file path=docProps/app.xml><?xml version="1.0" encoding="utf-8"?>
<Properties xmlns="http://schemas.openxmlformats.org/officeDocument/2006/extended-properties" xmlns:vt="http://schemas.openxmlformats.org/officeDocument/2006/docPropsVTypes">
  <Template>Normal</Template>
  <TotalTime>20</TotalTime>
  <Pages>7</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2023 Statewide Medical and Health Exercise Public Safety Assessment</vt:lpstr>
    </vt:vector>
  </TitlesOfParts>
  <Manager/>
  <Company>CDPH</Company>
  <LinksUpToDate>false</LinksUpToDate>
  <CharactersWithSpaces>8018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Statewide Medical and Health Exercise Public Safety Assessment</dc:title>
  <dc:subject>This template is for exercise planners to utilize in evaluating the effectiveness of their overall emergency management programs.</dc:subject>
  <dc:creator/>
  <cp:keywords>Statewide Medical and Health Exercise, Public Safety, Assessment</cp:keywords>
  <dc:description/>
  <cp:lastModifiedBy>Wood, Patrick@CDPH</cp:lastModifiedBy>
  <cp:revision>4</cp:revision>
  <cp:lastPrinted>2016-03-30T20:01:00Z</cp:lastPrinted>
  <dcterms:created xsi:type="dcterms:W3CDTF">2022-07-28T16:44:00Z</dcterms:created>
  <dcterms:modified xsi:type="dcterms:W3CDTF">2022-12-16T21:38:00Z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