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0C429" w14:textId="77777777" w:rsidR="00D34434" w:rsidRDefault="00D34434"/>
    <w:p w14:paraId="39A20D6C" w14:textId="77777777" w:rsidR="00D34434" w:rsidRDefault="00D34434" w:rsidP="007D72DB">
      <w:pPr>
        <w:jc w:val="left"/>
      </w:pPr>
    </w:p>
    <w:p w14:paraId="18E9A860" w14:textId="1DA76282" w:rsidR="00D34434" w:rsidRPr="001342CF" w:rsidRDefault="000E30B2" w:rsidP="007D72DB">
      <w:pPr>
        <w:jc w:val="left"/>
        <w:rPr>
          <w:color w:val="002060"/>
          <w:sz w:val="56"/>
          <w:szCs w:val="48"/>
        </w:rPr>
      </w:pPr>
      <w:r w:rsidRPr="001342CF">
        <w:rPr>
          <w:color w:val="002060"/>
          <w:sz w:val="56"/>
          <w:szCs w:val="48"/>
        </w:rPr>
        <w:t>C</w:t>
      </w:r>
      <w:r w:rsidR="00C80D11" w:rsidRPr="001342CF">
        <w:rPr>
          <w:color w:val="002060"/>
          <w:sz w:val="56"/>
          <w:szCs w:val="48"/>
        </w:rPr>
        <w:t xml:space="preserve">alifornia Statewide Medical and Health Exercise </w:t>
      </w:r>
    </w:p>
    <w:p w14:paraId="12E2656A" w14:textId="1A2FB223" w:rsidR="000E30B2" w:rsidRDefault="000E30B2" w:rsidP="007D72DB"/>
    <w:p w14:paraId="601983CB" w14:textId="7DD3C3FF" w:rsidR="000E30B2" w:rsidRPr="00C80D11" w:rsidRDefault="00C80D11" w:rsidP="007D72DB">
      <w:pPr>
        <w:rPr>
          <w:sz w:val="44"/>
          <w:szCs w:val="28"/>
        </w:rPr>
      </w:pPr>
      <w:r w:rsidRPr="00C80D11">
        <w:rPr>
          <w:sz w:val="40"/>
          <w:szCs w:val="28"/>
        </w:rPr>
        <w:t xml:space="preserve">Multi-Year Integrated Preparedness Plan </w:t>
      </w:r>
      <w:r w:rsidR="00535ECC">
        <w:rPr>
          <w:sz w:val="40"/>
          <w:szCs w:val="28"/>
        </w:rPr>
        <w:t>(IPP)</w:t>
      </w:r>
    </w:p>
    <w:p w14:paraId="3F561D4A" w14:textId="77777777" w:rsidR="00C80D11" w:rsidRDefault="00C80D11" w:rsidP="00D34434">
      <w:pPr>
        <w:jc w:val="center"/>
        <w:rPr>
          <w:noProof/>
        </w:rPr>
      </w:pPr>
    </w:p>
    <w:p w14:paraId="70ABC972" w14:textId="77777777" w:rsidR="00C80D11" w:rsidRDefault="00C80D11" w:rsidP="00D34434">
      <w:pPr>
        <w:jc w:val="center"/>
        <w:rPr>
          <w:noProof/>
        </w:rPr>
      </w:pPr>
    </w:p>
    <w:p w14:paraId="2D19F549" w14:textId="77777777" w:rsidR="00C80D11" w:rsidRDefault="00C80D11" w:rsidP="00D34434">
      <w:pPr>
        <w:jc w:val="center"/>
        <w:rPr>
          <w:noProof/>
        </w:rPr>
      </w:pPr>
    </w:p>
    <w:p w14:paraId="56BB9416" w14:textId="77777777" w:rsidR="00C80D11" w:rsidRDefault="00C80D11" w:rsidP="00D34434">
      <w:pPr>
        <w:jc w:val="center"/>
        <w:rPr>
          <w:noProof/>
        </w:rPr>
      </w:pPr>
    </w:p>
    <w:p w14:paraId="5A691BA4" w14:textId="77777777" w:rsidR="00C80D11" w:rsidRDefault="00C80D11" w:rsidP="00D34434">
      <w:pPr>
        <w:jc w:val="center"/>
        <w:rPr>
          <w:noProof/>
        </w:rPr>
      </w:pPr>
    </w:p>
    <w:p w14:paraId="40D720DA" w14:textId="77777777" w:rsidR="00C80D11" w:rsidRDefault="00C80D11" w:rsidP="00D34434">
      <w:pPr>
        <w:jc w:val="center"/>
        <w:rPr>
          <w:noProof/>
        </w:rPr>
      </w:pPr>
    </w:p>
    <w:p w14:paraId="4AB981D7" w14:textId="31527A47" w:rsidR="00C80D11" w:rsidRDefault="00C80D11" w:rsidP="00B57634">
      <w:pPr>
        <w:rPr>
          <w:noProof/>
        </w:rPr>
      </w:pPr>
    </w:p>
    <w:p w14:paraId="4429D3AE" w14:textId="13AA848B" w:rsidR="00B57634" w:rsidRDefault="00B57634" w:rsidP="00B57634">
      <w:pPr>
        <w:rPr>
          <w:noProof/>
        </w:rPr>
      </w:pPr>
    </w:p>
    <w:p w14:paraId="0FAB832B" w14:textId="77777777" w:rsidR="00B57634" w:rsidRDefault="00B57634" w:rsidP="00B57634">
      <w:pPr>
        <w:rPr>
          <w:noProof/>
        </w:rPr>
      </w:pPr>
    </w:p>
    <w:p w14:paraId="0A21C9C7" w14:textId="77777777" w:rsidR="00C80D11" w:rsidRDefault="00C80D11" w:rsidP="00D34434">
      <w:pPr>
        <w:jc w:val="center"/>
        <w:rPr>
          <w:noProof/>
        </w:rPr>
      </w:pPr>
    </w:p>
    <w:p w14:paraId="290F592B" w14:textId="77777777" w:rsidR="00C80D11" w:rsidRDefault="00C80D11" w:rsidP="00D34434">
      <w:pPr>
        <w:jc w:val="center"/>
        <w:rPr>
          <w:noProof/>
        </w:rPr>
      </w:pPr>
    </w:p>
    <w:p w14:paraId="4237AC99" w14:textId="4D469D5A" w:rsidR="00D34434" w:rsidRDefault="000E30B2" w:rsidP="00C80D11">
      <w:pPr>
        <w:jc w:val="left"/>
        <w:rPr>
          <w:rFonts w:ascii="Times New Roman" w:hAnsi="Times New Roman"/>
          <w:sz w:val="24"/>
          <w:szCs w:val="24"/>
        </w:rPr>
      </w:pPr>
      <w:r>
        <w:rPr>
          <w:noProof/>
        </w:rPr>
        <w:drawing>
          <wp:inline distT="0" distB="0" distL="0" distR="0" wp14:anchorId="74CCE857" wp14:editId="58E9CBCA">
            <wp:extent cx="3172570" cy="1384687"/>
            <wp:effectExtent l="0" t="0" r="0" b="6350"/>
            <wp:docPr id="5" name="Picture 5" descr="CDPH AND EMSA LOGO" title="CDPH AND EM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Jasons Stuff\Images\logo_CDPH_emsa_horozontal_125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2570" cy="1384687"/>
                    </a:xfrm>
                    <a:prstGeom prst="rect">
                      <a:avLst/>
                    </a:prstGeom>
                    <a:noFill/>
                    <a:ln>
                      <a:noFill/>
                    </a:ln>
                  </pic:spPr>
                </pic:pic>
              </a:graphicData>
            </a:graphic>
          </wp:inline>
        </w:drawing>
      </w:r>
    </w:p>
    <w:p w14:paraId="329A74EF" w14:textId="77777777" w:rsidR="00D34434" w:rsidRPr="001B216A" w:rsidRDefault="00D34434" w:rsidP="00D34434">
      <w:pPr>
        <w:pStyle w:val="Heading1"/>
        <w:rPr>
          <w:sz w:val="24"/>
          <w:szCs w:val="24"/>
        </w:rPr>
      </w:pPr>
      <w:r>
        <w:rPr>
          <w:sz w:val="24"/>
          <w:szCs w:val="24"/>
        </w:rPr>
        <w:br w:type="page"/>
      </w:r>
    </w:p>
    <w:p w14:paraId="6A84BC3B" w14:textId="28BC62B4" w:rsidR="00D34434" w:rsidRPr="002819CE" w:rsidRDefault="00D34434" w:rsidP="00D34434">
      <w:pPr>
        <w:pStyle w:val="Heading1"/>
      </w:pPr>
      <w:bookmarkStart w:id="0" w:name="_Toc320196897"/>
      <w:bookmarkStart w:id="1" w:name="_Toc456621529"/>
      <w:bookmarkStart w:id="2" w:name="_Toc122099505"/>
      <w:r w:rsidRPr="002819CE">
        <w:lastRenderedPageBreak/>
        <w:t>A</w:t>
      </w:r>
      <w:bookmarkEnd w:id="0"/>
      <w:bookmarkEnd w:id="1"/>
      <w:r w:rsidR="00C80D11">
        <w:t>cknowledgments</w:t>
      </w:r>
      <w:bookmarkEnd w:id="2"/>
      <w:r w:rsidR="00C80D11">
        <w:t xml:space="preserve"> </w:t>
      </w:r>
    </w:p>
    <w:p w14:paraId="0FDA9140" w14:textId="29DBAAE5" w:rsidR="00D34434" w:rsidRPr="00C80D11" w:rsidRDefault="00D34434" w:rsidP="00D927CB">
      <w:pPr>
        <w:spacing w:after="200"/>
        <w:jc w:val="left"/>
        <w:rPr>
          <w:rFonts w:eastAsia="Times New Roman" w:cs="Arial"/>
          <w:sz w:val="24"/>
          <w:szCs w:val="24"/>
        </w:rPr>
      </w:pPr>
      <w:r w:rsidRPr="00C80D11">
        <w:rPr>
          <w:rFonts w:eastAsia="Times New Roman" w:cs="Arial"/>
          <w:sz w:val="24"/>
          <w:szCs w:val="24"/>
        </w:rPr>
        <w:t xml:space="preserve">The annual California Statewide Medical and Health Exercise is sponsored by the California Department of Public Health (CDPH) and the California Emergency Medical Services Authority (EMSA). This </w:t>
      </w:r>
      <w:r w:rsidR="00D927CB">
        <w:rPr>
          <w:rFonts w:cs="Arial"/>
          <w:sz w:val="24"/>
          <w:szCs w:val="24"/>
        </w:rPr>
        <w:t>M</w:t>
      </w:r>
      <w:r w:rsidR="00D927CB" w:rsidRPr="00C80D11">
        <w:rPr>
          <w:rFonts w:cs="Arial"/>
          <w:sz w:val="24"/>
          <w:szCs w:val="24"/>
        </w:rPr>
        <w:t>ulti-</w:t>
      </w:r>
      <w:r w:rsidR="00D927CB">
        <w:rPr>
          <w:rFonts w:cs="Arial"/>
          <w:sz w:val="24"/>
          <w:szCs w:val="24"/>
        </w:rPr>
        <w:t>Y</w:t>
      </w:r>
      <w:r w:rsidR="00D927CB" w:rsidRPr="00C80D11">
        <w:rPr>
          <w:rFonts w:cs="Arial"/>
          <w:sz w:val="24"/>
          <w:szCs w:val="24"/>
        </w:rPr>
        <w:t>ear</w:t>
      </w:r>
      <w:r w:rsidR="00D927CB">
        <w:rPr>
          <w:rFonts w:cs="Arial"/>
          <w:sz w:val="24"/>
          <w:szCs w:val="24"/>
        </w:rPr>
        <w:t xml:space="preserve"> Integrated Preparedness Plan</w:t>
      </w:r>
      <w:r w:rsidR="00D927CB" w:rsidRPr="00C80D11">
        <w:rPr>
          <w:rFonts w:cs="Arial"/>
          <w:sz w:val="24"/>
          <w:szCs w:val="24"/>
        </w:rPr>
        <w:t xml:space="preserve"> (</w:t>
      </w:r>
      <w:r w:rsidR="00D927CB">
        <w:rPr>
          <w:rFonts w:cs="Arial"/>
          <w:sz w:val="24"/>
          <w:szCs w:val="24"/>
        </w:rPr>
        <w:t xml:space="preserve">IPP, formerly </w:t>
      </w:r>
      <w:r w:rsidR="00D927CB" w:rsidRPr="00C80D11">
        <w:rPr>
          <w:rFonts w:cs="Arial"/>
          <w:sz w:val="24"/>
          <w:szCs w:val="24"/>
        </w:rPr>
        <w:t xml:space="preserve">MYTEP) </w:t>
      </w:r>
      <w:r w:rsidRPr="00C80D11">
        <w:rPr>
          <w:rFonts w:eastAsia="Times New Roman" w:cs="Arial"/>
          <w:sz w:val="24"/>
          <w:szCs w:val="24"/>
        </w:rPr>
        <w:t>was produced with input, advice, and assistance from key stakeholders including representatives of the Local C</w:t>
      </w:r>
      <w:r w:rsidR="008F5F44" w:rsidRPr="00C80D11">
        <w:rPr>
          <w:rFonts w:eastAsia="Times New Roman" w:cs="Arial"/>
          <w:sz w:val="24"/>
          <w:szCs w:val="24"/>
        </w:rPr>
        <w:t>apabilities Working Group</w:t>
      </w:r>
      <w:r w:rsidR="006331A6">
        <w:rPr>
          <w:rFonts w:eastAsia="Times New Roman" w:cs="Arial"/>
          <w:sz w:val="24"/>
          <w:szCs w:val="24"/>
        </w:rPr>
        <w:t xml:space="preserve"> (LCWG)</w:t>
      </w:r>
      <w:r w:rsidRPr="00C80D11">
        <w:rPr>
          <w:rFonts w:eastAsia="Times New Roman" w:cs="Arial"/>
          <w:sz w:val="24"/>
          <w:szCs w:val="24"/>
        </w:rPr>
        <w:t>, regional and local disaster planners, and the Statewide Medical and Health Exercise</w:t>
      </w:r>
      <w:r w:rsidR="00852E4D" w:rsidRPr="00C80D11">
        <w:rPr>
          <w:rFonts w:eastAsia="Times New Roman" w:cs="Arial"/>
          <w:sz w:val="24"/>
          <w:szCs w:val="24"/>
        </w:rPr>
        <w:t xml:space="preserve"> (SWMHE)</w:t>
      </w:r>
      <w:r w:rsidRPr="00C80D11">
        <w:rPr>
          <w:rFonts w:eastAsia="Times New Roman" w:cs="Arial"/>
          <w:sz w:val="24"/>
          <w:szCs w:val="24"/>
        </w:rPr>
        <w:t xml:space="preserve"> </w:t>
      </w:r>
      <w:r w:rsidR="00960764" w:rsidRPr="00C80D11">
        <w:rPr>
          <w:rFonts w:eastAsia="Times New Roman" w:cs="Arial"/>
          <w:sz w:val="24"/>
          <w:szCs w:val="24"/>
        </w:rPr>
        <w:t xml:space="preserve">Planning </w:t>
      </w:r>
      <w:r w:rsidRPr="00C80D11">
        <w:rPr>
          <w:rFonts w:eastAsia="Times New Roman" w:cs="Arial"/>
          <w:sz w:val="24"/>
          <w:szCs w:val="24"/>
        </w:rPr>
        <w:t>Workgroup</w:t>
      </w:r>
      <w:r w:rsidR="00852E4D" w:rsidRPr="00C80D11">
        <w:rPr>
          <w:rFonts w:eastAsia="Times New Roman" w:cs="Arial"/>
          <w:sz w:val="24"/>
          <w:szCs w:val="24"/>
        </w:rPr>
        <w:t xml:space="preserve"> (</w:t>
      </w:r>
      <w:r w:rsidR="006331A6">
        <w:rPr>
          <w:rFonts w:eastAsia="Times New Roman" w:cs="Arial"/>
          <w:sz w:val="24"/>
          <w:szCs w:val="24"/>
        </w:rPr>
        <w:t>E</w:t>
      </w:r>
      <w:r w:rsidR="00852E4D" w:rsidRPr="00C80D11">
        <w:rPr>
          <w:rFonts w:eastAsia="Times New Roman" w:cs="Arial"/>
          <w:sz w:val="24"/>
          <w:szCs w:val="24"/>
        </w:rPr>
        <w:t>PW)</w:t>
      </w:r>
      <w:r w:rsidR="001C1DFD" w:rsidRPr="00C80D11">
        <w:rPr>
          <w:rFonts w:eastAsia="Times New Roman" w:cs="Arial"/>
          <w:sz w:val="24"/>
          <w:szCs w:val="24"/>
        </w:rPr>
        <w:t>.</w:t>
      </w:r>
    </w:p>
    <w:p w14:paraId="42CB0AAE"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Association of Bay Area Health Officials (ABAHO)</w:t>
      </w:r>
    </w:p>
    <w:p w14:paraId="02658AA2"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California Ambulatory Surgery Association (CASA)</w:t>
      </w:r>
    </w:p>
    <w:p w14:paraId="0C841F07"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California Association of Health Facilities (CAHF)</w:t>
      </w:r>
    </w:p>
    <w:p w14:paraId="43A70F89"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California Conference of Local Health Officers (CCLHO)</w:t>
      </w:r>
    </w:p>
    <w:p w14:paraId="7B0BC9E2"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California Department of Public Health (CDPH)</w:t>
      </w:r>
    </w:p>
    <w:p w14:paraId="0E4CCCD4"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California Emergency Medical Services Authority (EMSA)</w:t>
      </w:r>
    </w:p>
    <w:p w14:paraId="335A9FE2"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California Hospital Association (CHA)</w:t>
      </w:r>
    </w:p>
    <w:p w14:paraId="36B463CA"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California Governor’s Office of Emergency Services (Cal OES)</w:t>
      </w:r>
    </w:p>
    <w:p w14:paraId="4165092F"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California Primary Care Association (CPCA)</w:t>
      </w:r>
    </w:p>
    <w:p w14:paraId="5C1E30E1"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County of Riverside Emergency Management Department</w:t>
      </w:r>
    </w:p>
    <w:p w14:paraId="0D461BA8"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End Stage Renal Disease (ESRD) Network 17</w:t>
      </w:r>
    </w:p>
    <w:p w14:paraId="559FAF6E"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Inland Counties Emergency Management Agency</w:t>
      </w:r>
    </w:p>
    <w:p w14:paraId="6A1A0007"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Kaiser Permanente</w:t>
      </w:r>
    </w:p>
    <w:p w14:paraId="027FEA0F"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 xml:space="preserve">Los Angeles County Emergency Medical Services Agency </w:t>
      </w:r>
    </w:p>
    <w:p w14:paraId="0042E8F1"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Mariposa County Health and Human Services Agency</w:t>
      </w:r>
    </w:p>
    <w:p w14:paraId="21EF0E77"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Mendocino County Public Health Emergency Preparedness</w:t>
      </w:r>
    </w:p>
    <w:p w14:paraId="6B0ABC72"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Napa County Emergency Medical Services Agency</w:t>
      </w:r>
    </w:p>
    <w:p w14:paraId="15EC4D77"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 xml:space="preserve">Regional Disaster Medical Health Coordinator Program </w:t>
      </w:r>
    </w:p>
    <w:p w14:paraId="25647F03"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Sacramento County Emergency Medical Services Agency</w:t>
      </w:r>
    </w:p>
    <w:p w14:paraId="1B695316"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 xml:space="preserve">San Diego County Public Health Preparedness Response </w:t>
      </w:r>
    </w:p>
    <w:p w14:paraId="32A520ED"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San Joaquin County Emergency Medical Services Agency</w:t>
      </w:r>
    </w:p>
    <w:p w14:paraId="03ECE4D7"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Satellite Healthcare Dialysis</w:t>
      </w:r>
    </w:p>
    <w:p w14:paraId="3213BD2F" w14:textId="77777777" w:rsidR="00163C34" w:rsidRPr="00163C34" w:rsidRDefault="00163C34" w:rsidP="00163C34">
      <w:pPr>
        <w:pStyle w:val="ListParagraph"/>
        <w:numPr>
          <w:ilvl w:val="0"/>
          <w:numId w:val="25"/>
        </w:numPr>
        <w:spacing w:line="240" w:lineRule="auto"/>
        <w:jc w:val="left"/>
        <w:rPr>
          <w:sz w:val="24"/>
          <w:szCs w:val="24"/>
        </w:rPr>
      </w:pPr>
      <w:r w:rsidRPr="00163C34">
        <w:rPr>
          <w:sz w:val="24"/>
          <w:szCs w:val="24"/>
        </w:rPr>
        <w:t>Sharp HealthCare</w:t>
      </w:r>
    </w:p>
    <w:p w14:paraId="3FEB0D97" w14:textId="77777777" w:rsidR="001A3685" w:rsidRDefault="001A3685">
      <w:pPr>
        <w:spacing w:line="240" w:lineRule="auto"/>
        <w:jc w:val="left"/>
        <w:rPr>
          <w:rFonts w:eastAsia="Times New Roman"/>
          <w:color w:val="EB6E1F"/>
          <w:sz w:val="44"/>
          <w:szCs w:val="36"/>
        </w:rPr>
      </w:pPr>
      <w:r>
        <w:br w:type="page"/>
      </w:r>
    </w:p>
    <w:p w14:paraId="6D2C9991" w14:textId="3018E115" w:rsidR="00AD0EEE" w:rsidRPr="00C80D11" w:rsidRDefault="00C80D11" w:rsidP="00C80D11">
      <w:pPr>
        <w:pStyle w:val="Heading1"/>
        <w:rPr>
          <w:spacing w:val="-10"/>
          <w:szCs w:val="44"/>
        </w:rPr>
      </w:pPr>
      <w:bookmarkStart w:id="3" w:name="_Toc122099506"/>
      <w:bookmarkStart w:id="4" w:name="_Toc320196898"/>
      <w:bookmarkStart w:id="5" w:name="_Toc456621530"/>
      <w:r w:rsidRPr="00A97932">
        <w:rPr>
          <w:spacing w:val="-10"/>
          <w:szCs w:val="44"/>
        </w:rPr>
        <w:lastRenderedPageBreak/>
        <w:t>S</w:t>
      </w:r>
      <w:r>
        <w:rPr>
          <w:spacing w:val="-10"/>
          <w:szCs w:val="44"/>
        </w:rPr>
        <w:t>ponsoring Agency Points of Contact</w:t>
      </w:r>
      <w:bookmarkEnd w:id="3"/>
      <w:r w:rsidR="00D34434" w:rsidRPr="00A97932">
        <w:rPr>
          <w:spacing w:val="-10"/>
          <w:szCs w:val="44"/>
        </w:rPr>
        <w:t xml:space="preserve"> </w:t>
      </w:r>
      <w:bookmarkEnd w:id="4"/>
      <w:bookmarkEnd w:id="5"/>
    </w:p>
    <w:p w14:paraId="11BE1301" w14:textId="79BD255C" w:rsidR="00341876" w:rsidRPr="00163C34" w:rsidRDefault="00D34434" w:rsidP="00163C34">
      <w:pPr>
        <w:pStyle w:val="Heading3"/>
      </w:pPr>
      <w:r w:rsidRPr="005F2B32">
        <w:t xml:space="preserve">California Department of Public Health (CDPH) Contacts </w:t>
      </w:r>
    </w:p>
    <w:p w14:paraId="4B8173E9" w14:textId="77777777" w:rsidR="009731BF" w:rsidRDefault="009731BF" w:rsidP="00D34434">
      <w:pPr>
        <w:pStyle w:val="BodyText"/>
        <w:spacing w:line="276" w:lineRule="auto"/>
        <w:ind w:left="0" w:firstLine="0"/>
        <w:contextualSpacing/>
        <w:rPr>
          <w:rFonts w:eastAsia="Calibri" w:cs="Arial"/>
          <w:sz w:val="24"/>
          <w:szCs w:val="24"/>
        </w:rPr>
      </w:pPr>
    </w:p>
    <w:p w14:paraId="248ECA3B" w14:textId="3343C354" w:rsidR="006331A6" w:rsidRDefault="009731BF" w:rsidP="00D34434">
      <w:pPr>
        <w:pStyle w:val="BodyText"/>
        <w:spacing w:line="276" w:lineRule="auto"/>
        <w:ind w:left="0" w:firstLine="0"/>
        <w:contextualSpacing/>
        <w:rPr>
          <w:rFonts w:eastAsia="Calibri" w:cs="Arial"/>
          <w:sz w:val="24"/>
          <w:szCs w:val="24"/>
        </w:rPr>
      </w:pPr>
      <w:r w:rsidRPr="00F97A4D">
        <w:rPr>
          <w:rFonts w:eastAsia="Calibri" w:cs="Arial"/>
          <w:sz w:val="24"/>
          <w:szCs w:val="24"/>
        </w:rPr>
        <w:t>Ryan Boyd</w:t>
      </w:r>
    </w:p>
    <w:p w14:paraId="11E327EB" w14:textId="77777777" w:rsidR="00F97A4D" w:rsidRDefault="00F97A4D" w:rsidP="00F97A4D">
      <w:pPr>
        <w:pStyle w:val="BodyText"/>
        <w:spacing w:line="276" w:lineRule="auto"/>
        <w:ind w:left="0" w:firstLine="0"/>
        <w:contextualSpacing/>
        <w:rPr>
          <w:rFonts w:eastAsia="Calibri" w:cs="Arial"/>
          <w:sz w:val="24"/>
          <w:szCs w:val="24"/>
        </w:rPr>
      </w:pPr>
      <w:r w:rsidRPr="006331A6">
        <w:rPr>
          <w:rFonts w:eastAsia="Calibri" w:cs="Arial"/>
          <w:sz w:val="24"/>
          <w:szCs w:val="24"/>
        </w:rPr>
        <w:t xml:space="preserve">California Department of Public Health </w:t>
      </w:r>
    </w:p>
    <w:p w14:paraId="527F24D5" w14:textId="77777777" w:rsidR="00F97A4D" w:rsidRDefault="00F97A4D" w:rsidP="00F97A4D">
      <w:pPr>
        <w:pStyle w:val="BodyText"/>
        <w:spacing w:line="276" w:lineRule="auto"/>
        <w:ind w:left="0" w:firstLine="0"/>
        <w:contextualSpacing/>
        <w:rPr>
          <w:rFonts w:eastAsia="Calibri" w:cs="Arial"/>
          <w:sz w:val="24"/>
          <w:szCs w:val="24"/>
        </w:rPr>
      </w:pPr>
      <w:r w:rsidRPr="006331A6">
        <w:rPr>
          <w:rFonts w:eastAsia="Calibri" w:cs="Arial"/>
          <w:sz w:val="24"/>
          <w:szCs w:val="24"/>
        </w:rPr>
        <w:t xml:space="preserve">Emergency Preparedness Office </w:t>
      </w:r>
    </w:p>
    <w:p w14:paraId="72B4DDA3" w14:textId="77777777" w:rsidR="00F97A4D" w:rsidRDefault="00F97A4D" w:rsidP="00F97A4D">
      <w:pPr>
        <w:pStyle w:val="BodyText"/>
        <w:spacing w:line="276" w:lineRule="auto"/>
        <w:ind w:left="0" w:firstLine="0"/>
        <w:contextualSpacing/>
        <w:rPr>
          <w:rFonts w:eastAsia="Calibri" w:cs="Arial"/>
          <w:sz w:val="24"/>
          <w:szCs w:val="24"/>
        </w:rPr>
      </w:pPr>
      <w:r w:rsidRPr="006331A6">
        <w:rPr>
          <w:rFonts w:eastAsia="Calibri" w:cs="Arial"/>
          <w:sz w:val="24"/>
          <w:szCs w:val="24"/>
        </w:rPr>
        <w:t xml:space="preserve">1615 Capitol Avenue MS 7002 Sacramento, CA 95814 </w:t>
      </w:r>
    </w:p>
    <w:p w14:paraId="49A933A6" w14:textId="33DD043F" w:rsidR="00F97A4D" w:rsidRDefault="00F97A4D" w:rsidP="00D34434">
      <w:pPr>
        <w:pStyle w:val="BodyText"/>
        <w:spacing w:line="276" w:lineRule="auto"/>
        <w:ind w:left="0" w:firstLine="0"/>
        <w:contextualSpacing/>
        <w:rPr>
          <w:rFonts w:eastAsia="Calibri" w:cs="Arial"/>
          <w:sz w:val="24"/>
          <w:szCs w:val="24"/>
        </w:rPr>
      </w:pPr>
      <w:r>
        <w:rPr>
          <w:rFonts w:eastAsia="Calibri" w:cs="Arial"/>
          <w:sz w:val="24"/>
          <w:szCs w:val="24"/>
        </w:rPr>
        <w:t>ryan.boyd@cdph.ca.gov</w:t>
      </w:r>
    </w:p>
    <w:p w14:paraId="2B91A626" w14:textId="77777777" w:rsidR="009731BF" w:rsidRDefault="009731BF" w:rsidP="00D34434">
      <w:pPr>
        <w:pStyle w:val="BodyText"/>
        <w:spacing w:line="276" w:lineRule="auto"/>
        <w:ind w:left="0" w:firstLine="0"/>
        <w:contextualSpacing/>
        <w:rPr>
          <w:rFonts w:eastAsia="Calibri" w:cs="Arial"/>
          <w:sz w:val="24"/>
          <w:szCs w:val="24"/>
        </w:rPr>
      </w:pPr>
    </w:p>
    <w:p w14:paraId="145D60EF" w14:textId="528A73F1" w:rsidR="006331A6" w:rsidRDefault="006331A6" w:rsidP="00D34434">
      <w:pPr>
        <w:pStyle w:val="BodyText"/>
        <w:spacing w:line="276" w:lineRule="auto"/>
        <w:ind w:left="0" w:firstLine="0"/>
        <w:contextualSpacing/>
        <w:rPr>
          <w:rFonts w:eastAsia="Calibri" w:cs="Arial"/>
          <w:sz w:val="24"/>
          <w:szCs w:val="24"/>
        </w:rPr>
      </w:pPr>
      <w:r w:rsidRPr="006331A6">
        <w:rPr>
          <w:rFonts w:eastAsia="Calibri" w:cs="Arial"/>
          <w:sz w:val="24"/>
          <w:szCs w:val="24"/>
        </w:rPr>
        <w:t xml:space="preserve">John </w:t>
      </w:r>
      <w:proofErr w:type="spellStart"/>
      <w:r w:rsidRPr="006331A6">
        <w:rPr>
          <w:rFonts w:eastAsia="Calibri" w:cs="Arial"/>
          <w:sz w:val="24"/>
          <w:szCs w:val="24"/>
        </w:rPr>
        <w:t>Wogec</w:t>
      </w:r>
      <w:proofErr w:type="spellEnd"/>
      <w:r w:rsidRPr="006331A6">
        <w:rPr>
          <w:rFonts w:eastAsia="Calibri" w:cs="Arial"/>
          <w:sz w:val="24"/>
          <w:szCs w:val="24"/>
        </w:rPr>
        <w:t xml:space="preserve"> </w:t>
      </w:r>
    </w:p>
    <w:p w14:paraId="1C1F0C80" w14:textId="77777777" w:rsidR="006331A6" w:rsidRDefault="006331A6" w:rsidP="00D34434">
      <w:pPr>
        <w:pStyle w:val="BodyText"/>
        <w:spacing w:line="276" w:lineRule="auto"/>
        <w:ind w:left="0" w:firstLine="0"/>
        <w:contextualSpacing/>
        <w:rPr>
          <w:rFonts w:eastAsia="Calibri" w:cs="Arial"/>
          <w:sz w:val="24"/>
          <w:szCs w:val="24"/>
        </w:rPr>
      </w:pPr>
      <w:r w:rsidRPr="006331A6">
        <w:rPr>
          <w:rFonts w:eastAsia="Calibri" w:cs="Arial"/>
          <w:sz w:val="24"/>
          <w:szCs w:val="24"/>
        </w:rPr>
        <w:t xml:space="preserve">California Department of Public Health </w:t>
      </w:r>
    </w:p>
    <w:p w14:paraId="3B94FA40" w14:textId="572E0913" w:rsidR="006331A6" w:rsidRDefault="006331A6" w:rsidP="00D34434">
      <w:pPr>
        <w:pStyle w:val="BodyText"/>
        <w:spacing w:line="276" w:lineRule="auto"/>
        <w:ind w:left="0" w:firstLine="0"/>
        <w:contextualSpacing/>
        <w:rPr>
          <w:rFonts w:eastAsia="Calibri" w:cs="Arial"/>
          <w:sz w:val="24"/>
          <w:szCs w:val="24"/>
        </w:rPr>
      </w:pPr>
      <w:r w:rsidRPr="006331A6">
        <w:rPr>
          <w:rFonts w:eastAsia="Calibri" w:cs="Arial"/>
          <w:sz w:val="24"/>
          <w:szCs w:val="24"/>
        </w:rPr>
        <w:t xml:space="preserve">Emergency Preparedness Office </w:t>
      </w:r>
    </w:p>
    <w:p w14:paraId="105CA87B" w14:textId="77777777" w:rsidR="006331A6" w:rsidRDefault="006331A6" w:rsidP="00D34434">
      <w:pPr>
        <w:pStyle w:val="BodyText"/>
        <w:spacing w:line="276" w:lineRule="auto"/>
        <w:ind w:left="0" w:firstLine="0"/>
        <w:contextualSpacing/>
        <w:rPr>
          <w:rFonts w:eastAsia="Calibri" w:cs="Arial"/>
          <w:sz w:val="24"/>
          <w:szCs w:val="24"/>
        </w:rPr>
      </w:pPr>
      <w:r w:rsidRPr="006331A6">
        <w:rPr>
          <w:rFonts w:eastAsia="Calibri" w:cs="Arial"/>
          <w:sz w:val="24"/>
          <w:szCs w:val="24"/>
        </w:rPr>
        <w:t xml:space="preserve">1615 Capitol Avenue MS 7002 Sacramento, CA 95814 </w:t>
      </w:r>
    </w:p>
    <w:p w14:paraId="2E21EDF7" w14:textId="7C89381C" w:rsidR="006331A6" w:rsidRDefault="006331A6" w:rsidP="00D34434">
      <w:pPr>
        <w:pStyle w:val="BodyText"/>
        <w:spacing w:line="276" w:lineRule="auto"/>
        <w:ind w:left="0" w:firstLine="0"/>
        <w:contextualSpacing/>
        <w:rPr>
          <w:rFonts w:eastAsia="Calibri" w:cs="Arial"/>
          <w:sz w:val="24"/>
          <w:szCs w:val="24"/>
        </w:rPr>
      </w:pPr>
      <w:r w:rsidRPr="006331A6">
        <w:rPr>
          <w:rFonts w:eastAsia="Calibri" w:cs="Arial"/>
          <w:sz w:val="24"/>
          <w:szCs w:val="24"/>
        </w:rPr>
        <w:t xml:space="preserve">john.wogec@cdph.ca.gov </w:t>
      </w:r>
    </w:p>
    <w:p w14:paraId="2F68CB68" w14:textId="7AE474F4" w:rsidR="00D34434" w:rsidRPr="00C80D11" w:rsidRDefault="006331A6" w:rsidP="00D34434">
      <w:pPr>
        <w:pStyle w:val="BodyText"/>
        <w:spacing w:line="276" w:lineRule="auto"/>
        <w:ind w:left="0" w:firstLine="0"/>
        <w:contextualSpacing/>
        <w:rPr>
          <w:sz w:val="24"/>
          <w:szCs w:val="24"/>
        </w:rPr>
      </w:pPr>
      <w:r w:rsidRPr="006331A6">
        <w:rPr>
          <w:rFonts w:eastAsia="Calibri" w:cs="Arial"/>
          <w:sz w:val="24"/>
          <w:szCs w:val="24"/>
        </w:rPr>
        <w:t xml:space="preserve">Telephone: (916) </w:t>
      </w:r>
      <w:r w:rsidR="009731BF">
        <w:rPr>
          <w:rFonts w:eastAsia="Calibri" w:cs="Arial"/>
          <w:sz w:val="24"/>
          <w:szCs w:val="24"/>
        </w:rPr>
        <w:t>862-4498</w:t>
      </w:r>
    </w:p>
    <w:p w14:paraId="1D279BEB" w14:textId="77777777" w:rsidR="002232B2" w:rsidRPr="00C80D11" w:rsidRDefault="002232B2" w:rsidP="00D34434">
      <w:pPr>
        <w:pStyle w:val="BodyText"/>
        <w:spacing w:line="276" w:lineRule="auto"/>
        <w:ind w:left="0" w:firstLine="0"/>
        <w:contextualSpacing/>
        <w:rPr>
          <w:sz w:val="24"/>
          <w:szCs w:val="24"/>
        </w:rPr>
      </w:pPr>
    </w:p>
    <w:p w14:paraId="03B63DBF" w14:textId="3F6A986A" w:rsidR="00341876" w:rsidRDefault="00084B52" w:rsidP="00163C34">
      <w:pPr>
        <w:pStyle w:val="Heading3"/>
      </w:pPr>
      <w:r w:rsidRPr="00163C34">
        <w:rPr>
          <w:rStyle w:val="Heading3Char"/>
          <w:b/>
        </w:rPr>
        <w:t>California Emergency Medical Services Authority (EMSA) Contacts</w:t>
      </w:r>
    </w:p>
    <w:p w14:paraId="14D53622" w14:textId="77777777" w:rsidR="006331A6" w:rsidRDefault="006331A6" w:rsidP="00084B52">
      <w:pPr>
        <w:pStyle w:val="BodyText"/>
        <w:spacing w:line="276" w:lineRule="auto"/>
        <w:ind w:left="0" w:firstLine="0"/>
        <w:contextualSpacing/>
        <w:rPr>
          <w:sz w:val="24"/>
          <w:szCs w:val="24"/>
        </w:rPr>
      </w:pPr>
    </w:p>
    <w:p w14:paraId="7F7CBCD2" w14:textId="236FD899" w:rsidR="00084B52" w:rsidRPr="00C80D11" w:rsidRDefault="00587981" w:rsidP="00084B52">
      <w:pPr>
        <w:pStyle w:val="BodyText"/>
        <w:spacing w:line="276" w:lineRule="auto"/>
        <w:ind w:left="0" w:firstLine="0"/>
        <w:contextualSpacing/>
        <w:rPr>
          <w:sz w:val="24"/>
          <w:szCs w:val="24"/>
        </w:rPr>
      </w:pPr>
      <w:r w:rsidRPr="00C80D11">
        <w:rPr>
          <w:sz w:val="24"/>
          <w:szCs w:val="24"/>
        </w:rPr>
        <w:t>Craig Johnson</w:t>
      </w:r>
    </w:p>
    <w:p w14:paraId="6F64D14D" w14:textId="7AF11B55" w:rsidR="00084B52" w:rsidRPr="00C80D11" w:rsidRDefault="00305456" w:rsidP="00084B52">
      <w:pPr>
        <w:pStyle w:val="BodyText"/>
        <w:spacing w:line="276" w:lineRule="auto"/>
        <w:ind w:left="0" w:firstLine="0"/>
        <w:contextualSpacing/>
        <w:rPr>
          <w:sz w:val="24"/>
          <w:szCs w:val="24"/>
        </w:rPr>
      </w:pPr>
      <w:r w:rsidRPr="00C80D11">
        <w:rPr>
          <w:sz w:val="24"/>
          <w:szCs w:val="24"/>
        </w:rPr>
        <w:t>Chief, Disaster Medical Services Division</w:t>
      </w:r>
    </w:p>
    <w:p w14:paraId="09BE717C" w14:textId="77777777" w:rsidR="00084B52" w:rsidRPr="00C80D11" w:rsidRDefault="00084B52" w:rsidP="00084B52">
      <w:pPr>
        <w:pStyle w:val="BodyText"/>
        <w:spacing w:line="276" w:lineRule="auto"/>
        <w:ind w:left="0" w:firstLine="0"/>
        <w:contextualSpacing/>
        <w:rPr>
          <w:sz w:val="24"/>
          <w:szCs w:val="24"/>
        </w:rPr>
      </w:pPr>
      <w:r w:rsidRPr="00C80D11">
        <w:rPr>
          <w:sz w:val="24"/>
          <w:szCs w:val="24"/>
        </w:rPr>
        <w:t>Emergency Medical Services Authority</w:t>
      </w:r>
    </w:p>
    <w:p w14:paraId="6A1454EC" w14:textId="77777777" w:rsidR="00084B52" w:rsidRPr="00C80D11" w:rsidRDefault="00084B52" w:rsidP="00084B52">
      <w:pPr>
        <w:pStyle w:val="BodyText"/>
        <w:spacing w:line="276" w:lineRule="auto"/>
        <w:ind w:left="0" w:firstLine="0"/>
        <w:contextualSpacing/>
        <w:rPr>
          <w:sz w:val="24"/>
          <w:szCs w:val="24"/>
        </w:rPr>
      </w:pPr>
      <w:r w:rsidRPr="00C80D11">
        <w:rPr>
          <w:sz w:val="24"/>
          <w:szCs w:val="24"/>
        </w:rPr>
        <w:t>Disaster Medical Services Division</w:t>
      </w:r>
    </w:p>
    <w:p w14:paraId="290AC863" w14:textId="77777777" w:rsidR="00084B52" w:rsidRPr="00C80D11" w:rsidRDefault="00084B52" w:rsidP="00084B52">
      <w:pPr>
        <w:pStyle w:val="BodyText"/>
        <w:spacing w:line="276" w:lineRule="auto"/>
        <w:ind w:left="0" w:firstLine="0"/>
        <w:contextualSpacing/>
        <w:rPr>
          <w:sz w:val="24"/>
          <w:szCs w:val="24"/>
        </w:rPr>
      </w:pPr>
      <w:r w:rsidRPr="00C80D11">
        <w:rPr>
          <w:sz w:val="24"/>
          <w:szCs w:val="24"/>
        </w:rPr>
        <w:t>10901 Gold Center Drive, Suite 400</w:t>
      </w:r>
    </w:p>
    <w:p w14:paraId="1DB651F6" w14:textId="77777777" w:rsidR="00084B52" w:rsidRPr="00C80D11" w:rsidRDefault="00084B52" w:rsidP="00084B52">
      <w:pPr>
        <w:pStyle w:val="BodyText"/>
        <w:spacing w:line="276" w:lineRule="auto"/>
        <w:ind w:left="0" w:firstLine="0"/>
        <w:contextualSpacing/>
        <w:rPr>
          <w:sz w:val="24"/>
          <w:szCs w:val="24"/>
        </w:rPr>
      </w:pPr>
      <w:r w:rsidRPr="00C80D11">
        <w:rPr>
          <w:sz w:val="24"/>
          <w:szCs w:val="24"/>
        </w:rPr>
        <w:t>Rancho Cordova, CA 95670</w:t>
      </w:r>
    </w:p>
    <w:p w14:paraId="76731598" w14:textId="0D1F2B88" w:rsidR="00084B52" w:rsidRPr="00C80D11" w:rsidRDefault="00305456" w:rsidP="00084B52">
      <w:pPr>
        <w:pStyle w:val="BodyText"/>
        <w:spacing w:line="276" w:lineRule="auto"/>
        <w:ind w:left="0" w:firstLine="0"/>
        <w:contextualSpacing/>
        <w:rPr>
          <w:sz w:val="24"/>
          <w:szCs w:val="24"/>
        </w:rPr>
      </w:pPr>
      <w:r w:rsidRPr="00C80D11">
        <w:rPr>
          <w:sz w:val="24"/>
          <w:szCs w:val="24"/>
        </w:rPr>
        <w:t>craig.johnson@emsa.ca.gov</w:t>
      </w:r>
    </w:p>
    <w:p w14:paraId="38105025" w14:textId="1E4178B4" w:rsidR="00084B52" w:rsidRPr="00C80D11" w:rsidRDefault="000E30B2" w:rsidP="00084B52">
      <w:pPr>
        <w:pStyle w:val="BodyText"/>
        <w:spacing w:line="276" w:lineRule="auto"/>
        <w:ind w:left="0" w:firstLine="0"/>
        <w:contextualSpacing/>
        <w:rPr>
          <w:sz w:val="24"/>
          <w:szCs w:val="24"/>
        </w:rPr>
      </w:pPr>
      <w:r w:rsidRPr="00C80D11">
        <w:rPr>
          <w:sz w:val="24"/>
          <w:szCs w:val="24"/>
        </w:rPr>
        <w:t>Telephone: (916) 255-4171</w:t>
      </w:r>
    </w:p>
    <w:p w14:paraId="22C88DE8" w14:textId="4C2F9CCF" w:rsidR="00084B52" w:rsidRDefault="00084B52" w:rsidP="00084B52">
      <w:pPr>
        <w:pStyle w:val="BodyText"/>
        <w:spacing w:line="276" w:lineRule="auto"/>
        <w:ind w:left="0" w:firstLine="0"/>
        <w:contextualSpacing/>
        <w:rPr>
          <w:sz w:val="24"/>
          <w:szCs w:val="24"/>
        </w:rPr>
      </w:pPr>
      <w:r w:rsidRPr="00C80D11">
        <w:rPr>
          <w:sz w:val="24"/>
          <w:szCs w:val="24"/>
        </w:rPr>
        <w:t> </w:t>
      </w:r>
    </w:p>
    <w:p w14:paraId="599F868B" w14:textId="0D20326F" w:rsidR="009731BF" w:rsidRDefault="009731BF" w:rsidP="00084B52">
      <w:pPr>
        <w:pStyle w:val="BodyText"/>
        <w:spacing w:line="276" w:lineRule="auto"/>
        <w:ind w:left="0" w:firstLine="0"/>
        <w:contextualSpacing/>
        <w:rPr>
          <w:sz w:val="24"/>
          <w:szCs w:val="24"/>
        </w:rPr>
      </w:pPr>
      <w:r w:rsidRPr="00F97A4D">
        <w:rPr>
          <w:sz w:val="24"/>
          <w:szCs w:val="24"/>
        </w:rPr>
        <w:t>Tiffany Cannon</w:t>
      </w:r>
    </w:p>
    <w:p w14:paraId="273B8259" w14:textId="41516EA5" w:rsidR="004B5622" w:rsidRDefault="004B5622" w:rsidP="00084B52">
      <w:pPr>
        <w:pStyle w:val="BodyText"/>
        <w:spacing w:line="276" w:lineRule="auto"/>
        <w:ind w:left="0" w:firstLine="0"/>
        <w:contextualSpacing/>
        <w:rPr>
          <w:sz w:val="24"/>
          <w:szCs w:val="24"/>
        </w:rPr>
      </w:pPr>
      <w:r>
        <w:rPr>
          <w:sz w:val="24"/>
          <w:szCs w:val="24"/>
        </w:rPr>
        <w:t xml:space="preserve">Emergency Services Coordinator </w:t>
      </w:r>
    </w:p>
    <w:p w14:paraId="16B15DA2" w14:textId="77777777" w:rsidR="00F97A4D" w:rsidRPr="00C80D11" w:rsidRDefault="00F97A4D" w:rsidP="00F97A4D">
      <w:pPr>
        <w:pStyle w:val="BodyText"/>
        <w:spacing w:line="276" w:lineRule="auto"/>
        <w:ind w:left="0" w:firstLine="0"/>
        <w:contextualSpacing/>
        <w:rPr>
          <w:sz w:val="24"/>
          <w:szCs w:val="24"/>
        </w:rPr>
      </w:pPr>
      <w:r w:rsidRPr="00C80D11">
        <w:rPr>
          <w:sz w:val="24"/>
          <w:szCs w:val="24"/>
        </w:rPr>
        <w:t>Emergency Medical Services Authority</w:t>
      </w:r>
    </w:p>
    <w:p w14:paraId="2D61C653" w14:textId="77777777" w:rsidR="00F97A4D" w:rsidRPr="00C80D11" w:rsidRDefault="00F97A4D" w:rsidP="00F97A4D">
      <w:pPr>
        <w:pStyle w:val="BodyText"/>
        <w:spacing w:line="276" w:lineRule="auto"/>
        <w:ind w:left="0" w:firstLine="0"/>
        <w:contextualSpacing/>
        <w:rPr>
          <w:sz w:val="24"/>
          <w:szCs w:val="24"/>
        </w:rPr>
      </w:pPr>
      <w:r w:rsidRPr="00C80D11">
        <w:rPr>
          <w:sz w:val="24"/>
          <w:szCs w:val="24"/>
        </w:rPr>
        <w:t>Disaster Medical Services Division</w:t>
      </w:r>
    </w:p>
    <w:p w14:paraId="1B023A04" w14:textId="77777777" w:rsidR="00F97A4D" w:rsidRPr="00C80D11" w:rsidRDefault="00F97A4D" w:rsidP="00F97A4D">
      <w:pPr>
        <w:pStyle w:val="BodyText"/>
        <w:spacing w:line="276" w:lineRule="auto"/>
        <w:ind w:left="0" w:firstLine="0"/>
        <w:contextualSpacing/>
        <w:rPr>
          <w:sz w:val="24"/>
          <w:szCs w:val="24"/>
        </w:rPr>
      </w:pPr>
      <w:r w:rsidRPr="00C80D11">
        <w:rPr>
          <w:sz w:val="24"/>
          <w:szCs w:val="24"/>
        </w:rPr>
        <w:t>10901 Gold Center Drive, Suite 400</w:t>
      </w:r>
    </w:p>
    <w:p w14:paraId="3F787974" w14:textId="77777777" w:rsidR="00F97A4D" w:rsidRPr="00C80D11" w:rsidRDefault="00F97A4D" w:rsidP="00F97A4D">
      <w:pPr>
        <w:pStyle w:val="BodyText"/>
        <w:spacing w:line="276" w:lineRule="auto"/>
        <w:ind w:left="0" w:firstLine="0"/>
        <w:contextualSpacing/>
        <w:rPr>
          <w:sz w:val="24"/>
          <w:szCs w:val="24"/>
        </w:rPr>
      </w:pPr>
      <w:r w:rsidRPr="00C80D11">
        <w:rPr>
          <w:sz w:val="24"/>
          <w:szCs w:val="24"/>
        </w:rPr>
        <w:t>Rancho Cordova, CA 95670</w:t>
      </w:r>
    </w:p>
    <w:p w14:paraId="557D1B2C" w14:textId="7DEE076E" w:rsidR="00F97A4D" w:rsidRDefault="00D611EC">
      <w:pPr>
        <w:spacing w:line="240" w:lineRule="auto"/>
        <w:jc w:val="left"/>
        <w:rPr>
          <w:sz w:val="24"/>
          <w:szCs w:val="24"/>
        </w:rPr>
      </w:pPr>
      <w:r w:rsidRPr="00D611EC">
        <w:rPr>
          <w:sz w:val="24"/>
          <w:szCs w:val="24"/>
        </w:rPr>
        <w:t>tiffany.cannon@emsa.ca.gov</w:t>
      </w:r>
      <w:r>
        <w:rPr>
          <w:sz w:val="24"/>
          <w:szCs w:val="24"/>
        </w:rPr>
        <w:t xml:space="preserve"> </w:t>
      </w:r>
    </w:p>
    <w:p w14:paraId="553D85B0" w14:textId="50FE02E0" w:rsidR="00D611EC" w:rsidRDefault="00D611EC">
      <w:pPr>
        <w:spacing w:line="240" w:lineRule="auto"/>
        <w:jc w:val="left"/>
        <w:rPr>
          <w:sz w:val="24"/>
          <w:szCs w:val="24"/>
        </w:rPr>
      </w:pPr>
      <w:r>
        <w:rPr>
          <w:sz w:val="24"/>
          <w:szCs w:val="24"/>
        </w:rPr>
        <w:t xml:space="preserve">Telephone: (916) 539-5890 </w:t>
      </w:r>
    </w:p>
    <w:p w14:paraId="005D390A" w14:textId="77777777" w:rsidR="00F97A4D" w:rsidRDefault="00F97A4D">
      <w:pPr>
        <w:spacing w:line="240" w:lineRule="auto"/>
        <w:jc w:val="left"/>
        <w:rPr>
          <w:sz w:val="24"/>
          <w:szCs w:val="24"/>
        </w:rPr>
      </w:pPr>
    </w:p>
    <w:p w14:paraId="366D3102" w14:textId="0B624EFE" w:rsidR="009731BF" w:rsidRDefault="009731BF">
      <w:pPr>
        <w:spacing w:line="240" w:lineRule="auto"/>
        <w:jc w:val="left"/>
        <w:rPr>
          <w:rFonts w:eastAsia="Arial"/>
          <w:sz w:val="24"/>
          <w:szCs w:val="24"/>
        </w:rPr>
      </w:pPr>
      <w:r>
        <w:rPr>
          <w:sz w:val="24"/>
          <w:szCs w:val="24"/>
        </w:rPr>
        <w:br w:type="page"/>
      </w:r>
    </w:p>
    <w:p w14:paraId="0B100E87" w14:textId="77777777" w:rsidR="009731BF" w:rsidRDefault="009731BF" w:rsidP="00084B52">
      <w:pPr>
        <w:pStyle w:val="BodyText"/>
        <w:spacing w:line="276" w:lineRule="auto"/>
        <w:ind w:left="0" w:firstLine="0"/>
        <w:contextualSpacing/>
        <w:rPr>
          <w:sz w:val="24"/>
          <w:szCs w:val="24"/>
        </w:rPr>
      </w:pPr>
    </w:p>
    <w:p w14:paraId="2BE9A84E" w14:textId="4E95DB61" w:rsidR="00D34434" w:rsidRPr="00247CAE" w:rsidRDefault="006331A6" w:rsidP="00D34434">
      <w:pPr>
        <w:pStyle w:val="Heading1"/>
      </w:pPr>
      <w:bookmarkStart w:id="6" w:name="_Toc320196899"/>
      <w:bookmarkStart w:id="7" w:name="_Toc456621531"/>
      <w:bookmarkStart w:id="8" w:name="_Toc122099507"/>
      <w:r>
        <w:t xml:space="preserve">Multi-Year </w:t>
      </w:r>
      <w:r w:rsidR="00C80D11">
        <w:t>I</w:t>
      </w:r>
      <w:r>
        <w:t xml:space="preserve">ntegrated </w:t>
      </w:r>
      <w:r w:rsidR="00C80D11">
        <w:t>P</w:t>
      </w:r>
      <w:r>
        <w:t xml:space="preserve">reparedness </w:t>
      </w:r>
      <w:r w:rsidR="00C80D11">
        <w:t>P</w:t>
      </w:r>
      <w:r>
        <w:t>lan</w:t>
      </w:r>
      <w:r w:rsidR="008F5F44">
        <w:rPr>
          <w:sz w:val="24"/>
        </w:rPr>
        <w:t xml:space="preserve"> </w:t>
      </w:r>
      <w:r w:rsidR="00C80D11">
        <w:t>Review and Updates</w:t>
      </w:r>
      <w:bookmarkEnd w:id="6"/>
      <w:bookmarkEnd w:id="7"/>
      <w:bookmarkEnd w:id="8"/>
    </w:p>
    <w:p w14:paraId="3DEA916D" w14:textId="52E77761" w:rsidR="00D34434" w:rsidRPr="00C80D11" w:rsidRDefault="00D34434" w:rsidP="00C80D11">
      <w:pPr>
        <w:jc w:val="left"/>
        <w:rPr>
          <w:rFonts w:cs="Arial"/>
          <w:sz w:val="24"/>
          <w:szCs w:val="28"/>
        </w:rPr>
      </w:pPr>
      <w:r w:rsidRPr="00C80D11">
        <w:rPr>
          <w:rFonts w:cs="Arial"/>
          <w:sz w:val="24"/>
          <w:szCs w:val="28"/>
        </w:rPr>
        <w:t xml:space="preserve">The </w:t>
      </w:r>
      <w:r w:rsidR="006331A6">
        <w:rPr>
          <w:rFonts w:cs="Arial"/>
          <w:sz w:val="24"/>
          <w:szCs w:val="28"/>
        </w:rPr>
        <w:t xml:space="preserve">CDPH </w:t>
      </w:r>
      <w:r w:rsidRPr="00C80D11">
        <w:rPr>
          <w:rFonts w:cs="Arial"/>
          <w:sz w:val="24"/>
          <w:szCs w:val="28"/>
        </w:rPr>
        <w:t>L</w:t>
      </w:r>
      <w:r w:rsidR="00E82F2F" w:rsidRPr="00C80D11">
        <w:rPr>
          <w:rFonts w:cs="Arial"/>
          <w:sz w:val="24"/>
          <w:szCs w:val="28"/>
        </w:rPr>
        <w:t xml:space="preserve">ocal </w:t>
      </w:r>
      <w:r w:rsidRPr="00C80D11">
        <w:rPr>
          <w:rFonts w:cs="Arial"/>
          <w:sz w:val="24"/>
          <w:szCs w:val="28"/>
        </w:rPr>
        <w:t>C</w:t>
      </w:r>
      <w:r w:rsidR="00E82F2F" w:rsidRPr="00C80D11">
        <w:rPr>
          <w:rFonts w:cs="Arial"/>
          <w:sz w:val="24"/>
          <w:szCs w:val="28"/>
        </w:rPr>
        <w:t xml:space="preserve">apabilities </w:t>
      </w:r>
      <w:r w:rsidRPr="00C80D11">
        <w:rPr>
          <w:rFonts w:cs="Arial"/>
          <w:sz w:val="24"/>
          <w:szCs w:val="28"/>
        </w:rPr>
        <w:t>W</w:t>
      </w:r>
      <w:r w:rsidR="00E82F2F" w:rsidRPr="00C80D11">
        <w:rPr>
          <w:rFonts w:cs="Arial"/>
          <w:sz w:val="24"/>
          <w:szCs w:val="28"/>
        </w:rPr>
        <w:t>ork</w:t>
      </w:r>
      <w:r w:rsidR="006331A6">
        <w:rPr>
          <w:rFonts w:cs="Arial"/>
          <w:sz w:val="24"/>
          <w:szCs w:val="28"/>
        </w:rPr>
        <w:t>ing Group</w:t>
      </w:r>
      <w:r w:rsidR="00E82F2F" w:rsidRPr="00C80D11">
        <w:rPr>
          <w:rFonts w:cs="Arial"/>
          <w:sz w:val="24"/>
          <w:szCs w:val="28"/>
        </w:rPr>
        <w:t xml:space="preserve"> (LCW</w:t>
      </w:r>
      <w:r w:rsidR="006331A6">
        <w:rPr>
          <w:rFonts w:cs="Arial"/>
          <w:sz w:val="24"/>
          <w:szCs w:val="28"/>
        </w:rPr>
        <w:t>G</w:t>
      </w:r>
      <w:r w:rsidR="00E82F2F" w:rsidRPr="00C80D11">
        <w:rPr>
          <w:rFonts w:cs="Arial"/>
          <w:sz w:val="24"/>
          <w:szCs w:val="28"/>
        </w:rPr>
        <w:t>)</w:t>
      </w:r>
      <w:r w:rsidRPr="00C80D11">
        <w:rPr>
          <w:rFonts w:cs="Arial"/>
          <w:sz w:val="24"/>
          <w:szCs w:val="28"/>
        </w:rPr>
        <w:t xml:space="preserve"> and </w:t>
      </w:r>
      <w:r w:rsidR="00544A50" w:rsidRPr="00C80D11">
        <w:rPr>
          <w:rFonts w:cs="Arial"/>
          <w:sz w:val="24"/>
          <w:szCs w:val="28"/>
        </w:rPr>
        <w:t>Statewide Medical and Health Exercise (</w:t>
      </w:r>
      <w:r w:rsidRPr="00C80D11">
        <w:rPr>
          <w:rFonts w:cs="Arial"/>
          <w:sz w:val="24"/>
          <w:szCs w:val="28"/>
        </w:rPr>
        <w:t>SWMHE</w:t>
      </w:r>
      <w:r w:rsidR="00544A50" w:rsidRPr="00C80D11">
        <w:rPr>
          <w:rFonts w:cs="Arial"/>
          <w:sz w:val="24"/>
          <w:szCs w:val="28"/>
        </w:rPr>
        <w:t>)</w:t>
      </w:r>
      <w:r w:rsidRPr="00C80D11">
        <w:rPr>
          <w:rFonts w:cs="Arial"/>
          <w:sz w:val="24"/>
          <w:szCs w:val="28"/>
        </w:rPr>
        <w:t xml:space="preserve"> Planning Workgroup</w:t>
      </w:r>
      <w:r w:rsidR="00DA51C3" w:rsidRPr="00C80D11">
        <w:rPr>
          <w:rFonts w:cs="Arial"/>
          <w:sz w:val="24"/>
          <w:szCs w:val="28"/>
        </w:rPr>
        <w:t xml:space="preserve"> (</w:t>
      </w:r>
      <w:r w:rsidR="006331A6">
        <w:rPr>
          <w:rFonts w:cs="Arial"/>
          <w:sz w:val="24"/>
          <w:szCs w:val="28"/>
        </w:rPr>
        <w:t>E</w:t>
      </w:r>
      <w:r w:rsidR="00DA51C3" w:rsidRPr="00C80D11">
        <w:rPr>
          <w:rFonts w:cs="Arial"/>
          <w:sz w:val="24"/>
          <w:szCs w:val="28"/>
        </w:rPr>
        <w:t>PW)</w:t>
      </w:r>
      <w:r w:rsidRPr="00C80D11">
        <w:rPr>
          <w:rFonts w:cs="Arial"/>
          <w:sz w:val="24"/>
          <w:szCs w:val="28"/>
        </w:rPr>
        <w:t xml:space="preserve"> will review the </w:t>
      </w:r>
      <w:r w:rsidR="00D927CB">
        <w:rPr>
          <w:rFonts w:cs="Arial"/>
          <w:sz w:val="24"/>
          <w:szCs w:val="28"/>
        </w:rPr>
        <w:t>IPP</w:t>
      </w:r>
      <w:r w:rsidRPr="00C80D11">
        <w:rPr>
          <w:rFonts w:cs="Arial"/>
          <w:sz w:val="24"/>
          <w:szCs w:val="28"/>
        </w:rPr>
        <w:t xml:space="preserve"> and its appendices annually. Suggested changes to the </w:t>
      </w:r>
      <w:r w:rsidR="00D927CB">
        <w:rPr>
          <w:rFonts w:cs="Arial"/>
          <w:sz w:val="24"/>
          <w:szCs w:val="28"/>
        </w:rPr>
        <w:t>IPP</w:t>
      </w:r>
      <w:r w:rsidRPr="00C80D11">
        <w:rPr>
          <w:rFonts w:cs="Arial"/>
          <w:sz w:val="24"/>
          <w:szCs w:val="28"/>
        </w:rPr>
        <w:t xml:space="preserve"> will be incorporated and </w:t>
      </w:r>
      <w:r w:rsidR="00DA51C3" w:rsidRPr="00C80D11">
        <w:rPr>
          <w:rFonts w:cs="Arial"/>
          <w:sz w:val="24"/>
          <w:szCs w:val="28"/>
        </w:rPr>
        <w:t>EPW</w:t>
      </w:r>
      <w:r w:rsidRPr="00C80D11">
        <w:rPr>
          <w:rFonts w:cs="Arial"/>
          <w:sz w:val="24"/>
          <w:szCs w:val="28"/>
        </w:rPr>
        <w:t xml:space="preserve"> will identify revisions, additions, or improvements</w:t>
      </w:r>
      <w:r w:rsidRPr="00C80D11">
        <w:rPr>
          <w:rFonts w:cs="Arial"/>
          <w:spacing w:val="-31"/>
          <w:sz w:val="24"/>
          <w:szCs w:val="28"/>
        </w:rPr>
        <w:t xml:space="preserve"> </w:t>
      </w:r>
      <w:r w:rsidRPr="00C80D11">
        <w:rPr>
          <w:rFonts w:cs="Arial"/>
          <w:sz w:val="24"/>
          <w:szCs w:val="28"/>
        </w:rPr>
        <w:t>needed.</w:t>
      </w:r>
    </w:p>
    <w:p w14:paraId="37753BB7" w14:textId="77777777" w:rsidR="001A3685" w:rsidRPr="00C80D11" w:rsidRDefault="001A3685" w:rsidP="00C80D11">
      <w:pPr>
        <w:jc w:val="left"/>
        <w:rPr>
          <w:rFonts w:cs="Arial"/>
          <w:sz w:val="24"/>
          <w:szCs w:val="28"/>
        </w:rPr>
      </w:pPr>
    </w:p>
    <w:p w14:paraId="6AD9DB4F" w14:textId="77777777" w:rsidR="00D34434" w:rsidRPr="00C80D11" w:rsidRDefault="00D34434" w:rsidP="00C80D11">
      <w:pPr>
        <w:spacing w:after="200"/>
        <w:jc w:val="left"/>
        <w:rPr>
          <w:rFonts w:cs="Arial"/>
          <w:sz w:val="24"/>
          <w:szCs w:val="28"/>
        </w:rPr>
      </w:pPr>
      <w:r w:rsidRPr="00C80D11">
        <w:rPr>
          <w:rFonts w:cs="Arial"/>
          <w:sz w:val="24"/>
          <w:szCs w:val="28"/>
        </w:rPr>
        <w:t>Revisions noted in the annual plan review</w:t>
      </w:r>
      <w:r w:rsidRPr="00C80D11">
        <w:rPr>
          <w:rFonts w:cs="Arial"/>
          <w:spacing w:val="-9"/>
          <w:sz w:val="24"/>
          <w:szCs w:val="28"/>
        </w:rPr>
        <w:t xml:space="preserve"> </w:t>
      </w:r>
      <w:r w:rsidRPr="00C80D11">
        <w:rPr>
          <w:rFonts w:cs="Arial"/>
          <w:sz w:val="24"/>
          <w:szCs w:val="28"/>
        </w:rPr>
        <w:t>include:</w:t>
      </w:r>
    </w:p>
    <w:p w14:paraId="42BF684D" w14:textId="77777777" w:rsidR="00D34434" w:rsidRPr="00C80D11" w:rsidRDefault="00D34434" w:rsidP="009B3F13">
      <w:pPr>
        <w:pStyle w:val="ListParagraph"/>
        <w:numPr>
          <w:ilvl w:val="0"/>
          <w:numId w:val="3"/>
        </w:numPr>
        <w:jc w:val="left"/>
        <w:rPr>
          <w:sz w:val="24"/>
          <w:szCs w:val="24"/>
        </w:rPr>
      </w:pPr>
      <w:r w:rsidRPr="00C80D11">
        <w:rPr>
          <w:sz w:val="24"/>
          <w:szCs w:val="24"/>
        </w:rPr>
        <w:t>Continual</w:t>
      </w:r>
      <w:r w:rsidRPr="00C80D11">
        <w:rPr>
          <w:spacing w:val="-5"/>
          <w:sz w:val="24"/>
          <w:szCs w:val="24"/>
        </w:rPr>
        <w:t xml:space="preserve"> </w:t>
      </w:r>
      <w:r w:rsidRPr="00C80D11">
        <w:rPr>
          <w:sz w:val="24"/>
          <w:szCs w:val="24"/>
        </w:rPr>
        <w:t>update</w:t>
      </w:r>
      <w:r w:rsidRPr="00C80D11">
        <w:rPr>
          <w:spacing w:val="-5"/>
          <w:sz w:val="24"/>
          <w:szCs w:val="24"/>
        </w:rPr>
        <w:t xml:space="preserve"> </w:t>
      </w:r>
      <w:r w:rsidRPr="00C80D11">
        <w:rPr>
          <w:sz w:val="24"/>
          <w:szCs w:val="24"/>
        </w:rPr>
        <w:t>of</w:t>
      </w:r>
      <w:r w:rsidRPr="00C80D11">
        <w:rPr>
          <w:spacing w:val="-6"/>
          <w:sz w:val="24"/>
          <w:szCs w:val="24"/>
        </w:rPr>
        <w:t xml:space="preserve"> </w:t>
      </w:r>
      <w:r w:rsidRPr="00C80D11">
        <w:rPr>
          <w:sz w:val="24"/>
          <w:szCs w:val="24"/>
        </w:rPr>
        <w:t>information that may change</w:t>
      </w:r>
      <w:r w:rsidRPr="00C80D11">
        <w:rPr>
          <w:spacing w:val="-3"/>
          <w:sz w:val="24"/>
          <w:szCs w:val="24"/>
        </w:rPr>
        <w:t xml:space="preserve"> </w:t>
      </w:r>
      <w:r w:rsidRPr="00C80D11">
        <w:rPr>
          <w:sz w:val="24"/>
          <w:szCs w:val="24"/>
        </w:rPr>
        <w:t>regularly</w:t>
      </w:r>
    </w:p>
    <w:p w14:paraId="44111C87" w14:textId="77777777" w:rsidR="00D34434" w:rsidRPr="00C80D11" w:rsidRDefault="00D34434" w:rsidP="009B3F13">
      <w:pPr>
        <w:pStyle w:val="ListParagraph"/>
        <w:numPr>
          <w:ilvl w:val="0"/>
          <w:numId w:val="3"/>
        </w:numPr>
        <w:jc w:val="left"/>
        <w:rPr>
          <w:sz w:val="24"/>
          <w:szCs w:val="24"/>
        </w:rPr>
      </w:pPr>
      <w:r w:rsidRPr="00C80D11">
        <w:rPr>
          <w:sz w:val="24"/>
          <w:szCs w:val="24"/>
        </w:rPr>
        <w:t>Formatting</w:t>
      </w:r>
      <w:r w:rsidRPr="00C80D11">
        <w:rPr>
          <w:spacing w:val="-9"/>
          <w:sz w:val="24"/>
          <w:szCs w:val="24"/>
        </w:rPr>
        <w:t xml:space="preserve"> </w:t>
      </w:r>
      <w:r w:rsidRPr="00C80D11">
        <w:rPr>
          <w:sz w:val="24"/>
          <w:szCs w:val="24"/>
        </w:rPr>
        <w:t>changes</w:t>
      </w:r>
    </w:p>
    <w:p w14:paraId="5F80369D" w14:textId="741115D3" w:rsidR="00D34434" w:rsidRPr="00C80D11" w:rsidRDefault="00D34434" w:rsidP="009B3F13">
      <w:pPr>
        <w:pStyle w:val="ListParagraph"/>
        <w:numPr>
          <w:ilvl w:val="0"/>
          <w:numId w:val="3"/>
        </w:numPr>
        <w:jc w:val="left"/>
        <w:rPr>
          <w:sz w:val="24"/>
          <w:szCs w:val="24"/>
        </w:rPr>
      </w:pPr>
      <w:r w:rsidRPr="00C80D11">
        <w:rPr>
          <w:sz w:val="24"/>
          <w:szCs w:val="24"/>
        </w:rPr>
        <w:t xml:space="preserve">Text changes to incorporate new </w:t>
      </w:r>
      <w:r w:rsidR="00544A50" w:rsidRPr="00C80D11">
        <w:rPr>
          <w:sz w:val="24"/>
          <w:szCs w:val="24"/>
        </w:rPr>
        <w:t>Hospital Preparedness Program (</w:t>
      </w:r>
      <w:r w:rsidRPr="00C80D11">
        <w:rPr>
          <w:sz w:val="24"/>
          <w:szCs w:val="24"/>
        </w:rPr>
        <w:t>HPP</w:t>
      </w:r>
      <w:r w:rsidR="00544A50" w:rsidRPr="00C80D11">
        <w:rPr>
          <w:sz w:val="24"/>
          <w:szCs w:val="24"/>
        </w:rPr>
        <w:t xml:space="preserve">) </w:t>
      </w:r>
      <w:r w:rsidR="00D705A9" w:rsidRPr="00C80D11">
        <w:rPr>
          <w:sz w:val="24"/>
          <w:szCs w:val="24"/>
        </w:rPr>
        <w:t>and</w:t>
      </w:r>
      <w:r w:rsidR="00544A50" w:rsidRPr="00C80D11">
        <w:rPr>
          <w:sz w:val="24"/>
          <w:szCs w:val="24"/>
        </w:rPr>
        <w:t xml:space="preserve"> Public Health Emergency Preparedness (</w:t>
      </w:r>
      <w:r w:rsidRPr="00C80D11">
        <w:rPr>
          <w:sz w:val="24"/>
          <w:szCs w:val="24"/>
        </w:rPr>
        <w:t>PHEP</w:t>
      </w:r>
      <w:r w:rsidR="00544A50" w:rsidRPr="00C80D11">
        <w:rPr>
          <w:sz w:val="24"/>
          <w:szCs w:val="24"/>
        </w:rPr>
        <w:t>)</w:t>
      </w:r>
      <w:r w:rsidRPr="00C80D11">
        <w:rPr>
          <w:sz w:val="24"/>
          <w:szCs w:val="24"/>
        </w:rPr>
        <w:t xml:space="preserve"> guidelines</w:t>
      </w:r>
    </w:p>
    <w:p w14:paraId="54BC217D" w14:textId="77777777" w:rsidR="00D34434" w:rsidRPr="00C80D11" w:rsidRDefault="00D34434" w:rsidP="009B3F13">
      <w:pPr>
        <w:pStyle w:val="ListParagraph"/>
        <w:numPr>
          <w:ilvl w:val="0"/>
          <w:numId w:val="3"/>
        </w:numPr>
        <w:jc w:val="left"/>
        <w:rPr>
          <w:sz w:val="24"/>
          <w:szCs w:val="24"/>
        </w:rPr>
      </w:pPr>
      <w:r w:rsidRPr="00C80D11">
        <w:rPr>
          <w:sz w:val="24"/>
          <w:szCs w:val="24"/>
        </w:rPr>
        <w:t>Text changes to incorporate organizational</w:t>
      </w:r>
      <w:r w:rsidRPr="00C80D11">
        <w:rPr>
          <w:spacing w:val="-15"/>
          <w:sz w:val="24"/>
          <w:szCs w:val="24"/>
        </w:rPr>
        <w:t xml:space="preserve"> </w:t>
      </w:r>
      <w:r w:rsidRPr="00C80D11">
        <w:rPr>
          <w:sz w:val="24"/>
          <w:szCs w:val="24"/>
        </w:rPr>
        <w:t>changes</w:t>
      </w:r>
    </w:p>
    <w:p w14:paraId="34CE243C" w14:textId="67F51FD1" w:rsidR="00D34434" w:rsidRPr="00C80D11" w:rsidRDefault="00D34434" w:rsidP="009B3F13">
      <w:pPr>
        <w:pStyle w:val="ListParagraph"/>
        <w:numPr>
          <w:ilvl w:val="0"/>
          <w:numId w:val="3"/>
        </w:numPr>
        <w:jc w:val="left"/>
        <w:rPr>
          <w:sz w:val="24"/>
          <w:szCs w:val="24"/>
        </w:rPr>
      </w:pPr>
      <w:r w:rsidRPr="00C80D11">
        <w:rPr>
          <w:sz w:val="24"/>
          <w:szCs w:val="24"/>
        </w:rPr>
        <w:t>Text changes to incorporate fin</w:t>
      </w:r>
      <w:r w:rsidR="00F609DC" w:rsidRPr="00C80D11">
        <w:rPr>
          <w:sz w:val="24"/>
          <w:szCs w:val="24"/>
        </w:rPr>
        <w:t>dings from exercise evaluations</w:t>
      </w:r>
    </w:p>
    <w:p w14:paraId="08C73071" w14:textId="5C9A1FB6" w:rsidR="00D705A9" w:rsidRPr="00C80D11" w:rsidRDefault="00D705A9" w:rsidP="009B3F13">
      <w:pPr>
        <w:pStyle w:val="ListParagraph"/>
        <w:numPr>
          <w:ilvl w:val="0"/>
          <w:numId w:val="3"/>
        </w:numPr>
        <w:jc w:val="left"/>
        <w:rPr>
          <w:sz w:val="24"/>
          <w:szCs w:val="24"/>
        </w:rPr>
      </w:pPr>
      <w:r w:rsidRPr="00C80D11">
        <w:rPr>
          <w:sz w:val="24"/>
          <w:szCs w:val="24"/>
        </w:rPr>
        <w:t>Text changes to incorporate hazard vulnerability changes</w:t>
      </w:r>
    </w:p>
    <w:p w14:paraId="27572C84" w14:textId="77777777" w:rsidR="00F609DC" w:rsidRPr="00C80D11" w:rsidRDefault="00F609DC" w:rsidP="00C80D11">
      <w:pPr>
        <w:jc w:val="left"/>
        <w:rPr>
          <w:rFonts w:cs="Arial"/>
          <w:sz w:val="24"/>
          <w:szCs w:val="28"/>
        </w:rPr>
      </w:pPr>
    </w:p>
    <w:p w14:paraId="33A0300D" w14:textId="47037900" w:rsidR="00D34434" w:rsidRDefault="00D34434" w:rsidP="00C80D11">
      <w:pPr>
        <w:jc w:val="left"/>
        <w:rPr>
          <w:sz w:val="24"/>
          <w:szCs w:val="28"/>
        </w:rPr>
      </w:pPr>
      <w:r w:rsidRPr="00C80D11">
        <w:rPr>
          <w:rFonts w:cs="Arial"/>
          <w:sz w:val="24"/>
          <w:szCs w:val="28"/>
        </w:rPr>
        <w:t>Each time a change is made, the date and version number along with the noted change and author</w:t>
      </w:r>
      <w:r w:rsidRPr="00C80D11">
        <w:rPr>
          <w:rFonts w:cs="Arial"/>
          <w:spacing w:val="-3"/>
          <w:sz w:val="24"/>
          <w:szCs w:val="28"/>
        </w:rPr>
        <w:t xml:space="preserve"> </w:t>
      </w:r>
      <w:r w:rsidRPr="00C80D11">
        <w:rPr>
          <w:rFonts w:cs="Arial"/>
          <w:sz w:val="24"/>
          <w:szCs w:val="28"/>
        </w:rPr>
        <w:t>will</w:t>
      </w:r>
      <w:r w:rsidRPr="00C80D11">
        <w:rPr>
          <w:rFonts w:cs="Arial"/>
          <w:spacing w:val="-4"/>
          <w:sz w:val="24"/>
          <w:szCs w:val="28"/>
        </w:rPr>
        <w:t xml:space="preserve"> </w:t>
      </w:r>
      <w:r w:rsidRPr="00C80D11">
        <w:rPr>
          <w:rFonts w:cs="Arial"/>
          <w:sz w:val="24"/>
          <w:szCs w:val="28"/>
        </w:rPr>
        <w:t>be</w:t>
      </w:r>
      <w:r w:rsidRPr="00C80D11">
        <w:rPr>
          <w:rFonts w:cs="Arial"/>
          <w:spacing w:val="-3"/>
          <w:sz w:val="24"/>
          <w:szCs w:val="28"/>
        </w:rPr>
        <w:t xml:space="preserve"> </w:t>
      </w:r>
      <w:r w:rsidRPr="00C80D11">
        <w:rPr>
          <w:rFonts w:cs="Arial"/>
          <w:sz w:val="24"/>
          <w:szCs w:val="28"/>
        </w:rPr>
        <w:t>documented</w:t>
      </w:r>
      <w:r w:rsidRPr="00C80D11">
        <w:rPr>
          <w:rFonts w:cs="Arial"/>
          <w:spacing w:val="-3"/>
          <w:sz w:val="24"/>
          <w:szCs w:val="28"/>
        </w:rPr>
        <w:t xml:space="preserve"> </w:t>
      </w:r>
      <w:r w:rsidRPr="00C80D11">
        <w:rPr>
          <w:rFonts w:cs="Arial"/>
          <w:sz w:val="24"/>
          <w:szCs w:val="28"/>
        </w:rPr>
        <w:t>on</w:t>
      </w:r>
      <w:r w:rsidRPr="00C80D11">
        <w:rPr>
          <w:rFonts w:cs="Arial"/>
          <w:spacing w:val="-4"/>
          <w:sz w:val="24"/>
          <w:szCs w:val="28"/>
        </w:rPr>
        <w:t xml:space="preserve"> </w:t>
      </w:r>
      <w:r w:rsidRPr="00C80D11">
        <w:rPr>
          <w:rFonts w:cs="Arial"/>
          <w:sz w:val="24"/>
          <w:szCs w:val="28"/>
        </w:rPr>
        <w:t>the</w:t>
      </w:r>
      <w:r w:rsidRPr="00C80D11">
        <w:rPr>
          <w:rFonts w:cs="Arial"/>
          <w:spacing w:val="-3"/>
          <w:sz w:val="24"/>
          <w:szCs w:val="28"/>
        </w:rPr>
        <w:t xml:space="preserve"> </w:t>
      </w:r>
      <w:r w:rsidRPr="00C80D11">
        <w:rPr>
          <w:rFonts w:cs="Arial"/>
          <w:sz w:val="24"/>
          <w:szCs w:val="28"/>
        </w:rPr>
        <w:t>table</w:t>
      </w:r>
      <w:r w:rsidRPr="00C80D11">
        <w:rPr>
          <w:rFonts w:cs="Arial"/>
          <w:spacing w:val="-3"/>
          <w:sz w:val="24"/>
          <w:szCs w:val="28"/>
        </w:rPr>
        <w:t xml:space="preserve"> </w:t>
      </w:r>
      <w:r w:rsidRPr="00C80D11">
        <w:rPr>
          <w:rFonts w:cs="Arial"/>
          <w:sz w:val="24"/>
          <w:szCs w:val="28"/>
        </w:rPr>
        <w:t>below.</w:t>
      </w:r>
      <w:r w:rsidRPr="00C80D11">
        <w:rPr>
          <w:rFonts w:cs="Arial"/>
          <w:spacing w:val="-4"/>
          <w:sz w:val="24"/>
          <w:szCs w:val="28"/>
        </w:rPr>
        <w:t xml:space="preserve"> </w:t>
      </w:r>
      <w:r w:rsidRPr="00C80D11">
        <w:rPr>
          <w:rFonts w:cs="Arial"/>
          <w:sz w:val="24"/>
          <w:szCs w:val="28"/>
        </w:rPr>
        <w:t>Additional</w:t>
      </w:r>
      <w:r w:rsidRPr="00C80D11">
        <w:rPr>
          <w:rFonts w:cs="Arial"/>
          <w:spacing w:val="-5"/>
          <w:sz w:val="24"/>
          <w:szCs w:val="28"/>
        </w:rPr>
        <w:t xml:space="preserve"> </w:t>
      </w:r>
      <w:r w:rsidRPr="00C80D11">
        <w:rPr>
          <w:rFonts w:cs="Arial"/>
          <w:sz w:val="24"/>
          <w:szCs w:val="28"/>
        </w:rPr>
        <w:t>Plan</w:t>
      </w:r>
      <w:r w:rsidRPr="00C80D11">
        <w:rPr>
          <w:rFonts w:cs="Arial"/>
          <w:spacing w:val="-4"/>
          <w:sz w:val="24"/>
          <w:szCs w:val="28"/>
        </w:rPr>
        <w:t xml:space="preserve"> </w:t>
      </w:r>
      <w:r w:rsidRPr="00C80D11">
        <w:rPr>
          <w:rFonts w:cs="Arial"/>
          <w:sz w:val="24"/>
          <w:szCs w:val="28"/>
        </w:rPr>
        <w:t>Modification</w:t>
      </w:r>
      <w:r w:rsidRPr="00C80D11">
        <w:rPr>
          <w:rFonts w:cs="Arial"/>
          <w:spacing w:val="-3"/>
          <w:sz w:val="24"/>
          <w:szCs w:val="28"/>
        </w:rPr>
        <w:t xml:space="preserve"> </w:t>
      </w:r>
      <w:r w:rsidRPr="00C80D11">
        <w:rPr>
          <w:rFonts w:cs="Arial"/>
          <w:sz w:val="24"/>
          <w:szCs w:val="28"/>
        </w:rPr>
        <w:t>table</w:t>
      </w:r>
      <w:r w:rsidRPr="00C80D11">
        <w:rPr>
          <w:rFonts w:cs="Arial"/>
          <w:spacing w:val="-3"/>
          <w:sz w:val="24"/>
          <w:szCs w:val="28"/>
        </w:rPr>
        <w:t xml:space="preserve"> </w:t>
      </w:r>
      <w:r w:rsidRPr="00C80D11">
        <w:rPr>
          <w:rFonts w:cs="Arial"/>
          <w:sz w:val="24"/>
          <w:szCs w:val="28"/>
        </w:rPr>
        <w:t>rows</w:t>
      </w:r>
      <w:r w:rsidRPr="00C80D11">
        <w:rPr>
          <w:rFonts w:cs="Arial"/>
          <w:spacing w:val="-4"/>
          <w:sz w:val="24"/>
          <w:szCs w:val="28"/>
        </w:rPr>
        <w:t xml:space="preserve"> </w:t>
      </w:r>
      <w:r w:rsidRPr="00C80D11">
        <w:rPr>
          <w:rFonts w:cs="Arial"/>
          <w:sz w:val="24"/>
          <w:szCs w:val="28"/>
        </w:rPr>
        <w:t>may</w:t>
      </w:r>
      <w:r w:rsidRPr="00C80D11">
        <w:rPr>
          <w:rFonts w:cs="Arial"/>
          <w:spacing w:val="-3"/>
          <w:sz w:val="24"/>
          <w:szCs w:val="28"/>
        </w:rPr>
        <w:t xml:space="preserve"> </w:t>
      </w:r>
      <w:r w:rsidRPr="00C80D11">
        <w:rPr>
          <w:rFonts w:cs="Arial"/>
          <w:sz w:val="24"/>
          <w:szCs w:val="28"/>
        </w:rPr>
        <w:t>be added as</w:t>
      </w:r>
      <w:r w:rsidRPr="00C80D11">
        <w:rPr>
          <w:rFonts w:cs="Arial"/>
          <w:spacing w:val="-2"/>
          <w:sz w:val="24"/>
          <w:szCs w:val="28"/>
        </w:rPr>
        <w:t xml:space="preserve"> </w:t>
      </w:r>
      <w:r w:rsidRPr="00C80D11">
        <w:rPr>
          <w:rFonts w:cs="Arial"/>
          <w:sz w:val="24"/>
          <w:szCs w:val="28"/>
        </w:rPr>
        <w:t>necessary</w:t>
      </w:r>
      <w:r w:rsidRPr="00C80D11">
        <w:rPr>
          <w:sz w:val="24"/>
          <w:szCs w:val="28"/>
        </w:rPr>
        <w:t>.</w:t>
      </w:r>
    </w:p>
    <w:p w14:paraId="6B45BF1A" w14:textId="77777777" w:rsidR="00B648E9" w:rsidRPr="00C80D11" w:rsidRDefault="00B648E9" w:rsidP="00C80D11">
      <w:pPr>
        <w:jc w:val="left"/>
        <w:rPr>
          <w:sz w:val="24"/>
          <w:szCs w:val="28"/>
        </w:rPr>
      </w:pPr>
    </w:p>
    <w:p w14:paraId="4EE2D87E" w14:textId="533F2B8A" w:rsidR="00F609DC" w:rsidRDefault="007D72DB" w:rsidP="007D72DB">
      <w:pPr>
        <w:pStyle w:val="Heading3"/>
      </w:pPr>
      <w:r>
        <w:t xml:space="preserve">Table 1: </w:t>
      </w:r>
      <w:r w:rsidR="007D170F">
        <w:t xml:space="preserve">Plan Modification Table </w:t>
      </w:r>
      <w:r>
        <w:t xml:space="preserve"> </w:t>
      </w:r>
    </w:p>
    <w:p w14:paraId="39762AB8" w14:textId="77777777" w:rsidR="00320EAA" w:rsidRPr="00320EAA" w:rsidRDefault="00320EAA" w:rsidP="00320EAA"/>
    <w:tbl>
      <w:tblPr>
        <w:tblStyle w:val="TableGrid1"/>
        <w:tblW w:w="5045" w:type="pct"/>
        <w:tblLayout w:type="fixed"/>
        <w:tblLook w:val="01E0" w:firstRow="1" w:lastRow="1" w:firstColumn="1" w:lastColumn="1" w:noHBand="0" w:noVBand="0"/>
        <w:tblCaption w:val="Table 1: Plan Modification Table "/>
        <w:tblDescription w:val="Each time a change is made to this document, this table is updated with the date, description of change, page number, and author "/>
      </w:tblPr>
      <w:tblGrid>
        <w:gridCol w:w="1326"/>
        <w:gridCol w:w="4562"/>
        <w:gridCol w:w="1844"/>
        <w:gridCol w:w="1930"/>
      </w:tblGrid>
      <w:tr w:rsidR="00AC4D0C" w:rsidRPr="00AC4D0C" w14:paraId="5F89CBB0" w14:textId="77777777" w:rsidTr="00320EAA">
        <w:trPr>
          <w:cantSplit/>
          <w:trHeight w:val="229"/>
          <w:tblHeader/>
        </w:trPr>
        <w:tc>
          <w:tcPr>
            <w:tcW w:w="686" w:type="pct"/>
            <w:shd w:val="clear" w:color="auto" w:fill="002060"/>
          </w:tcPr>
          <w:p w14:paraId="23602928" w14:textId="2FDA135E" w:rsidR="00D34434" w:rsidRPr="00AC4D0C" w:rsidRDefault="00D34434" w:rsidP="00C80D11">
            <w:pPr>
              <w:pStyle w:val="TableParagraph"/>
              <w:keepNext/>
              <w:keepLines/>
              <w:spacing w:line="276" w:lineRule="auto"/>
              <w:jc w:val="left"/>
              <w:outlineLvl w:val="2"/>
              <w:rPr>
                <w:rFonts w:ascii="Arial" w:eastAsia="Calibri" w:hAnsi="Arial" w:cs="Arial"/>
                <w:b/>
                <w:color w:val="FFFFFF" w:themeColor="background1"/>
                <w:sz w:val="20"/>
                <w:szCs w:val="20"/>
              </w:rPr>
            </w:pPr>
            <w:bookmarkStart w:id="9" w:name="_Toc456621532"/>
            <w:r w:rsidRPr="00AC4D0C">
              <w:rPr>
                <w:rFonts w:ascii="Arial" w:hAnsi="Arial" w:cs="Arial"/>
                <w:b/>
                <w:color w:val="FFFFFF" w:themeColor="background1"/>
                <w:sz w:val="20"/>
                <w:szCs w:val="20"/>
              </w:rPr>
              <w:t>D</w:t>
            </w:r>
            <w:bookmarkEnd w:id="9"/>
            <w:r w:rsidR="00C80D11">
              <w:rPr>
                <w:rFonts w:ascii="Arial" w:hAnsi="Arial" w:cs="Arial"/>
                <w:b/>
                <w:color w:val="FFFFFF" w:themeColor="background1"/>
                <w:sz w:val="20"/>
                <w:szCs w:val="20"/>
              </w:rPr>
              <w:t>ate</w:t>
            </w:r>
          </w:p>
        </w:tc>
        <w:tc>
          <w:tcPr>
            <w:tcW w:w="2361" w:type="pct"/>
            <w:shd w:val="clear" w:color="auto" w:fill="002060"/>
          </w:tcPr>
          <w:p w14:paraId="3B17B37B" w14:textId="794375ED" w:rsidR="00D34434" w:rsidRPr="00AC4D0C" w:rsidRDefault="00D34434" w:rsidP="00C80D11">
            <w:pPr>
              <w:pStyle w:val="TableParagraph"/>
              <w:spacing w:line="276" w:lineRule="auto"/>
              <w:jc w:val="left"/>
              <w:rPr>
                <w:rFonts w:ascii="Arial" w:eastAsia="Calibri" w:hAnsi="Arial" w:cs="Arial"/>
                <w:b/>
                <w:bCs/>
                <w:color w:val="FFFFFF" w:themeColor="background1"/>
                <w:sz w:val="20"/>
                <w:szCs w:val="20"/>
              </w:rPr>
            </w:pPr>
            <w:r w:rsidRPr="00AC4D0C">
              <w:rPr>
                <w:rFonts w:ascii="Arial" w:hAnsi="Arial" w:cs="Arial"/>
                <w:b/>
                <w:color w:val="FFFFFF" w:themeColor="background1"/>
                <w:sz w:val="20"/>
                <w:szCs w:val="20"/>
              </w:rPr>
              <w:t>D</w:t>
            </w:r>
            <w:r w:rsidR="00C80D11">
              <w:rPr>
                <w:rFonts w:ascii="Arial" w:hAnsi="Arial" w:cs="Arial"/>
                <w:b/>
                <w:color w:val="FFFFFF" w:themeColor="background1"/>
                <w:sz w:val="20"/>
                <w:szCs w:val="20"/>
              </w:rPr>
              <w:t>escription of Change</w:t>
            </w:r>
          </w:p>
        </w:tc>
        <w:tc>
          <w:tcPr>
            <w:tcW w:w="954" w:type="pct"/>
            <w:shd w:val="clear" w:color="auto" w:fill="002060"/>
          </w:tcPr>
          <w:p w14:paraId="174D4842" w14:textId="79130AEE" w:rsidR="00D34434" w:rsidRPr="00AC4D0C" w:rsidRDefault="00D34434" w:rsidP="00C80D11">
            <w:pPr>
              <w:pStyle w:val="TableParagraph"/>
              <w:jc w:val="left"/>
              <w:rPr>
                <w:rFonts w:ascii="Arial" w:eastAsia="Calibri" w:hAnsi="Arial" w:cs="Arial"/>
                <w:b/>
                <w:bCs/>
                <w:color w:val="FFFFFF" w:themeColor="background1"/>
                <w:sz w:val="20"/>
                <w:szCs w:val="20"/>
              </w:rPr>
            </w:pPr>
            <w:r w:rsidRPr="00AC4D0C">
              <w:rPr>
                <w:rFonts w:ascii="Arial" w:hAnsi="Arial" w:cs="Arial"/>
                <w:b/>
                <w:color w:val="FFFFFF" w:themeColor="background1"/>
                <w:sz w:val="20"/>
                <w:szCs w:val="20"/>
              </w:rPr>
              <w:t>P</w:t>
            </w:r>
            <w:r w:rsidR="00C80D11">
              <w:rPr>
                <w:rFonts w:ascii="Arial" w:hAnsi="Arial" w:cs="Arial"/>
                <w:b/>
                <w:color w:val="FFFFFF" w:themeColor="background1"/>
                <w:sz w:val="20"/>
                <w:szCs w:val="20"/>
              </w:rPr>
              <w:t>age Number</w:t>
            </w:r>
          </w:p>
        </w:tc>
        <w:tc>
          <w:tcPr>
            <w:tcW w:w="999" w:type="pct"/>
            <w:shd w:val="clear" w:color="auto" w:fill="002060"/>
          </w:tcPr>
          <w:p w14:paraId="0AD9C5E6" w14:textId="058B7968" w:rsidR="00D34434" w:rsidRPr="00AC4D0C" w:rsidRDefault="00D34434" w:rsidP="00C80D11">
            <w:pPr>
              <w:pStyle w:val="TableParagraph"/>
              <w:keepNext/>
              <w:keepLines/>
              <w:spacing w:line="276" w:lineRule="auto"/>
              <w:jc w:val="left"/>
              <w:outlineLvl w:val="2"/>
              <w:rPr>
                <w:rFonts w:ascii="Arial" w:eastAsia="Calibri" w:hAnsi="Arial" w:cs="Arial"/>
                <w:b/>
                <w:bCs/>
                <w:color w:val="FFFFFF" w:themeColor="background1"/>
                <w:sz w:val="20"/>
                <w:szCs w:val="20"/>
              </w:rPr>
            </w:pPr>
            <w:bookmarkStart w:id="10" w:name="_Toc456621533"/>
            <w:r w:rsidRPr="00AC4D0C">
              <w:rPr>
                <w:rFonts w:ascii="Arial" w:hAnsi="Arial" w:cs="Arial"/>
                <w:b/>
                <w:color w:val="FFFFFF" w:themeColor="background1"/>
                <w:sz w:val="20"/>
                <w:szCs w:val="20"/>
              </w:rPr>
              <w:t>A</w:t>
            </w:r>
            <w:bookmarkEnd w:id="10"/>
            <w:r w:rsidR="00C80D11">
              <w:rPr>
                <w:rFonts w:ascii="Arial" w:hAnsi="Arial" w:cs="Arial"/>
                <w:b/>
                <w:color w:val="FFFFFF" w:themeColor="background1"/>
                <w:sz w:val="20"/>
                <w:szCs w:val="20"/>
              </w:rPr>
              <w:t xml:space="preserve">uthor </w:t>
            </w:r>
          </w:p>
        </w:tc>
      </w:tr>
      <w:tr w:rsidR="00D34434" w:rsidRPr="00AC4D0C" w14:paraId="66E19EDC" w14:textId="77777777" w:rsidTr="00320EAA">
        <w:trPr>
          <w:trHeight w:val="360"/>
        </w:trPr>
        <w:tc>
          <w:tcPr>
            <w:tcW w:w="686" w:type="pct"/>
          </w:tcPr>
          <w:p w14:paraId="4458158D" w14:textId="59933F46" w:rsidR="00D34434" w:rsidRPr="00AC4D0C" w:rsidRDefault="001C727E" w:rsidP="006331A6">
            <w:pPr>
              <w:pStyle w:val="TableParagraph"/>
              <w:spacing w:line="276" w:lineRule="auto"/>
              <w:ind w:left="103"/>
              <w:jc w:val="left"/>
              <w:rPr>
                <w:rFonts w:ascii="Arial" w:eastAsia="Calibri" w:hAnsi="Arial" w:cs="Arial"/>
                <w:sz w:val="20"/>
                <w:szCs w:val="20"/>
              </w:rPr>
            </w:pPr>
            <w:r>
              <w:rPr>
                <w:rFonts w:ascii="Arial" w:eastAsia="Calibri" w:hAnsi="Arial" w:cs="Arial"/>
                <w:sz w:val="20"/>
                <w:szCs w:val="20"/>
              </w:rPr>
              <w:t>9/14/18</w:t>
            </w:r>
          </w:p>
        </w:tc>
        <w:tc>
          <w:tcPr>
            <w:tcW w:w="2361" w:type="pct"/>
          </w:tcPr>
          <w:p w14:paraId="023F8A4F" w14:textId="01B2008C" w:rsidR="00D34434" w:rsidRPr="00AC4D0C" w:rsidRDefault="001C727E" w:rsidP="00C52B10">
            <w:pPr>
              <w:pStyle w:val="TableParagraph"/>
              <w:spacing w:line="276" w:lineRule="auto"/>
              <w:ind w:right="395"/>
              <w:jc w:val="left"/>
              <w:rPr>
                <w:rFonts w:ascii="Arial" w:eastAsia="Calibri" w:hAnsi="Arial" w:cs="Arial"/>
                <w:sz w:val="20"/>
                <w:szCs w:val="20"/>
              </w:rPr>
            </w:pPr>
            <w:r>
              <w:rPr>
                <w:rFonts w:ascii="Arial" w:eastAsia="Calibri" w:hAnsi="Arial" w:cs="Arial"/>
                <w:sz w:val="20"/>
                <w:szCs w:val="20"/>
              </w:rPr>
              <w:t>Updated yearly tables</w:t>
            </w:r>
          </w:p>
        </w:tc>
        <w:tc>
          <w:tcPr>
            <w:tcW w:w="954" w:type="pct"/>
          </w:tcPr>
          <w:p w14:paraId="5AA9A222" w14:textId="20133FDE" w:rsidR="00D34434" w:rsidRPr="00AC4D0C" w:rsidRDefault="001C727E" w:rsidP="006331A6">
            <w:pPr>
              <w:pStyle w:val="TableParagraph"/>
              <w:spacing w:line="276" w:lineRule="auto"/>
              <w:ind w:left="103"/>
              <w:jc w:val="left"/>
              <w:rPr>
                <w:rFonts w:ascii="Arial" w:eastAsia="Calibri" w:hAnsi="Arial" w:cs="Arial"/>
                <w:sz w:val="20"/>
                <w:szCs w:val="20"/>
              </w:rPr>
            </w:pPr>
            <w:r>
              <w:rPr>
                <w:rFonts w:ascii="Arial" w:eastAsia="Calibri" w:hAnsi="Arial" w:cs="Arial"/>
                <w:sz w:val="20"/>
                <w:szCs w:val="20"/>
              </w:rPr>
              <w:t>10 - 13</w:t>
            </w:r>
          </w:p>
        </w:tc>
        <w:tc>
          <w:tcPr>
            <w:tcW w:w="999" w:type="pct"/>
          </w:tcPr>
          <w:p w14:paraId="38BDDD5A" w14:textId="50E9122E" w:rsidR="00D34434" w:rsidRPr="00AC4D0C" w:rsidRDefault="00C52B10" w:rsidP="00C52B10">
            <w:pPr>
              <w:pStyle w:val="TableParagraph"/>
              <w:spacing w:line="276" w:lineRule="auto"/>
              <w:jc w:val="left"/>
              <w:rPr>
                <w:rFonts w:ascii="Arial" w:eastAsia="Calibri" w:hAnsi="Arial" w:cs="Arial"/>
                <w:sz w:val="20"/>
                <w:szCs w:val="20"/>
              </w:rPr>
            </w:pPr>
            <w:r>
              <w:rPr>
                <w:rFonts w:ascii="Arial" w:eastAsia="Calibri" w:hAnsi="Arial" w:cs="Arial"/>
                <w:sz w:val="20"/>
                <w:szCs w:val="20"/>
              </w:rPr>
              <w:t xml:space="preserve"> </w:t>
            </w:r>
            <w:proofErr w:type="spellStart"/>
            <w:r w:rsidR="00E82F2F">
              <w:rPr>
                <w:rFonts w:ascii="Arial" w:eastAsia="Calibri" w:hAnsi="Arial" w:cs="Arial"/>
                <w:sz w:val="20"/>
                <w:szCs w:val="20"/>
              </w:rPr>
              <w:t>c.</w:t>
            </w:r>
            <w:r w:rsidR="001C727E">
              <w:rPr>
                <w:rFonts w:ascii="Arial" w:eastAsia="Calibri" w:hAnsi="Arial" w:cs="Arial"/>
                <w:sz w:val="20"/>
                <w:szCs w:val="20"/>
              </w:rPr>
              <w:t>schafer</w:t>
            </w:r>
            <w:proofErr w:type="spellEnd"/>
          </w:p>
        </w:tc>
      </w:tr>
      <w:tr w:rsidR="00D34434" w:rsidRPr="00AC4D0C" w14:paraId="79EAE8AD" w14:textId="77777777" w:rsidTr="00320EAA">
        <w:trPr>
          <w:trHeight w:val="360"/>
        </w:trPr>
        <w:tc>
          <w:tcPr>
            <w:tcW w:w="686" w:type="pct"/>
          </w:tcPr>
          <w:p w14:paraId="78983D9A" w14:textId="1F2EC551" w:rsidR="00D34434" w:rsidRPr="00AC4D0C" w:rsidRDefault="006331A6" w:rsidP="006331A6">
            <w:pPr>
              <w:pStyle w:val="TableParagraph"/>
              <w:spacing w:line="276" w:lineRule="auto"/>
              <w:ind w:left="103"/>
              <w:jc w:val="left"/>
              <w:rPr>
                <w:rFonts w:ascii="Arial" w:eastAsia="Calibri" w:hAnsi="Arial" w:cs="Arial"/>
                <w:sz w:val="20"/>
                <w:szCs w:val="20"/>
              </w:rPr>
            </w:pPr>
            <w:r>
              <w:rPr>
                <w:rFonts w:ascii="Arial" w:eastAsia="Calibri" w:hAnsi="Arial" w:cs="Arial"/>
                <w:sz w:val="20"/>
                <w:szCs w:val="20"/>
              </w:rPr>
              <w:t>7/15/19</w:t>
            </w:r>
          </w:p>
        </w:tc>
        <w:tc>
          <w:tcPr>
            <w:tcW w:w="2361" w:type="pct"/>
          </w:tcPr>
          <w:p w14:paraId="03803B6E" w14:textId="1BAEB95C" w:rsidR="00D34434" w:rsidRPr="00AC4D0C" w:rsidRDefault="006331A6" w:rsidP="00C52B10">
            <w:pPr>
              <w:pStyle w:val="TableParagraph"/>
              <w:spacing w:line="276" w:lineRule="auto"/>
              <w:ind w:right="285"/>
              <w:jc w:val="left"/>
              <w:rPr>
                <w:rFonts w:ascii="Arial" w:eastAsia="Calibri" w:hAnsi="Arial" w:cs="Arial"/>
                <w:sz w:val="20"/>
                <w:szCs w:val="20"/>
              </w:rPr>
            </w:pPr>
            <w:r w:rsidRPr="006331A6">
              <w:rPr>
                <w:rFonts w:ascii="Arial" w:eastAsia="Calibri" w:hAnsi="Arial" w:cs="Arial"/>
                <w:sz w:val="20"/>
                <w:szCs w:val="20"/>
              </w:rPr>
              <w:t>Updated acknowledgements, points of contact, and yearly tables to align with new grant requirements</w:t>
            </w:r>
          </w:p>
        </w:tc>
        <w:tc>
          <w:tcPr>
            <w:tcW w:w="954" w:type="pct"/>
          </w:tcPr>
          <w:p w14:paraId="69748F73" w14:textId="662ACAC8" w:rsidR="00D34434" w:rsidRPr="00AC4D0C" w:rsidRDefault="006331A6" w:rsidP="006331A6">
            <w:pPr>
              <w:pStyle w:val="TableParagraph"/>
              <w:spacing w:line="276" w:lineRule="auto"/>
              <w:ind w:left="103"/>
              <w:jc w:val="left"/>
              <w:rPr>
                <w:rFonts w:ascii="Arial" w:eastAsia="Calibri" w:hAnsi="Arial" w:cs="Arial"/>
                <w:sz w:val="20"/>
                <w:szCs w:val="20"/>
              </w:rPr>
            </w:pPr>
            <w:r>
              <w:rPr>
                <w:rFonts w:ascii="Arial" w:eastAsia="Calibri" w:hAnsi="Arial" w:cs="Arial"/>
                <w:sz w:val="20"/>
                <w:szCs w:val="20"/>
              </w:rPr>
              <w:t>2-3,10-13</w:t>
            </w:r>
          </w:p>
        </w:tc>
        <w:tc>
          <w:tcPr>
            <w:tcW w:w="999" w:type="pct"/>
          </w:tcPr>
          <w:p w14:paraId="37B01A3A" w14:textId="00978C2C" w:rsidR="00D34434" w:rsidRPr="00AC4D0C" w:rsidRDefault="00C52B10" w:rsidP="00C52B10">
            <w:pPr>
              <w:pStyle w:val="TableParagraph"/>
              <w:spacing w:line="276" w:lineRule="auto"/>
              <w:jc w:val="left"/>
              <w:rPr>
                <w:rFonts w:ascii="Arial" w:eastAsia="Calibri" w:hAnsi="Arial" w:cs="Arial"/>
                <w:sz w:val="20"/>
                <w:szCs w:val="20"/>
              </w:rPr>
            </w:pPr>
            <w:r>
              <w:rPr>
                <w:rFonts w:ascii="Arial" w:eastAsia="Calibri" w:hAnsi="Arial" w:cs="Arial"/>
                <w:sz w:val="20"/>
                <w:szCs w:val="20"/>
              </w:rPr>
              <w:t xml:space="preserve"> </w:t>
            </w:r>
            <w:proofErr w:type="spellStart"/>
            <w:proofErr w:type="gramStart"/>
            <w:r w:rsidR="006331A6">
              <w:rPr>
                <w:rFonts w:ascii="Arial" w:eastAsia="Calibri" w:hAnsi="Arial" w:cs="Arial"/>
                <w:sz w:val="20"/>
                <w:szCs w:val="20"/>
              </w:rPr>
              <w:t>a.slight</w:t>
            </w:r>
            <w:proofErr w:type="spellEnd"/>
            <w:proofErr w:type="gramEnd"/>
          </w:p>
        </w:tc>
      </w:tr>
      <w:tr w:rsidR="00D34434" w:rsidRPr="00AC4D0C" w14:paraId="012C63B8" w14:textId="77777777" w:rsidTr="00320EAA">
        <w:trPr>
          <w:trHeight w:val="360"/>
        </w:trPr>
        <w:tc>
          <w:tcPr>
            <w:tcW w:w="686" w:type="pct"/>
          </w:tcPr>
          <w:p w14:paraId="43ED2B3C" w14:textId="7A4BBD16" w:rsidR="00D34434" w:rsidRPr="00AC4D0C" w:rsidRDefault="003B3019" w:rsidP="006331A6">
            <w:pPr>
              <w:jc w:val="left"/>
              <w:rPr>
                <w:rFonts w:cs="Arial"/>
                <w:szCs w:val="20"/>
              </w:rPr>
            </w:pPr>
            <w:r>
              <w:rPr>
                <w:rFonts w:cs="Arial"/>
                <w:szCs w:val="20"/>
              </w:rPr>
              <w:t xml:space="preserve"> </w:t>
            </w:r>
            <w:r w:rsidR="006331A6">
              <w:rPr>
                <w:rFonts w:cs="Arial"/>
                <w:szCs w:val="20"/>
              </w:rPr>
              <w:t>8/22/19</w:t>
            </w:r>
          </w:p>
        </w:tc>
        <w:tc>
          <w:tcPr>
            <w:tcW w:w="2361" w:type="pct"/>
          </w:tcPr>
          <w:p w14:paraId="7CA07655" w14:textId="4D1B4B3B" w:rsidR="00D34434" w:rsidRPr="00AC4D0C" w:rsidRDefault="006331A6" w:rsidP="006331A6">
            <w:pPr>
              <w:jc w:val="left"/>
              <w:rPr>
                <w:rFonts w:cs="Arial"/>
                <w:szCs w:val="20"/>
              </w:rPr>
            </w:pPr>
            <w:r w:rsidRPr="006331A6">
              <w:rPr>
                <w:rFonts w:cs="Arial"/>
                <w:szCs w:val="20"/>
              </w:rPr>
              <w:t>Updated sponsoring agencies, points of contact, and added separate column for Health Care Coalition (HCC) Annexes as well as other considerations</w:t>
            </w:r>
          </w:p>
        </w:tc>
        <w:tc>
          <w:tcPr>
            <w:tcW w:w="954" w:type="pct"/>
          </w:tcPr>
          <w:p w14:paraId="32E89D68" w14:textId="01DAD21F" w:rsidR="00D34434" w:rsidRPr="00AC4D0C" w:rsidRDefault="00C52B10" w:rsidP="006331A6">
            <w:pPr>
              <w:jc w:val="left"/>
              <w:rPr>
                <w:rFonts w:cs="Arial"/>
                <w:szCs w:val="20"/>
              </w:rPr>
            </w:pPr>
            <w:r>
              <w:rPr>
                <w:rFonts w:cs="Arial"/>
                <w:szCs w:val="20"/>
              </w:rPr>
              <w:t xml:space="preserve"> </w:t>
            </w:r>
            <w:r w:rsidR="006331A6">
              <w:rPr>
                <w:rFonts w:cs="Arial"/>
                <w:szCs w:val="20"/>
              </w:rPr>
              <w:t>2-3,10-13</w:t>
            </w:r>
          </w:p>
        </w:tc>
        <w:tc>
          <w:tcPr>
            <w:tcW w:w="999" w:type="pct"/>
          </w:tcPr>
          <w:p w14:paraId="20EB6272" w14:textId="34563337" w:rsidR="00D34434" w:rsidRPr="00AC4D0C" w:rsidRDefault="00C52B10" w:rsidP="006331A6">
            <w:pPr>
              <w:jc w:val="left"/>
              <w:rPr>
                <w:rFonts w:cs="Arial"/>
                <w:szCs w:val="20"/>
              </w:rPr>
            </w:pPr>
            <w:r>
              <w:rPr>
                <w:rFonts w:cs="Arial"/>
                <w:szCs w:val="20"/>
              </w:rPr>
              <w:t xml:space="preserve"> </w:t>
            </w:r>
            <w:proofErr w:type="spellStart"/>
            <w:proofErr w:type="gramStart"/>
            <w:r w:rsidR="006331A6">
              <w:rPr>
                <w:rFonts w:cs="Arial"/>
                <w:szCs w:val="20"/>
              </w:rPr>
              <w:t>a.slight</w:t>
            </w:r>
            <w:proofErr w:type="spellEnd"/>
            <w:proofErr w:type="gramEnd"/>
          </w:p>
        </w:tc>
      </w:tr>
      <w:tr w:rsidR="00D34434" w:rsidRPr="00AC4D0C" w14:paraId="62ACA013" w14:textId="77777777" w:rsidTr="00320EAA">
        <w:trPr>
          <w:trHeight w:val="360"/>
        </w:trPr>
        <w:tc>
          <w:tcPr>
            <w:tcW w:w="686" w:type="pct"/>
          </w:tcPr>
          <w:p w14:paraId="1EFA3514" w14:textId="46A1DC90" w:rsidR="00D34434" w:rsidRPr="00AC4D0C" w:rsidRDefault="003B3019" w:rsidP="006331A6">
            <w:pPr>
              <w:jc w:val="left"/>
              <w:rPr>
                <w:rFonts w:cs="Arial"/>
                <w:szCs w:val="20"/>
              </w:rPr>
            </w:pPr>
            <w:r>
              <w:rPr>
                <w:rFonts w:cs="Arial"/>
                <w:szCs w:val="20"/>
              </w:rPr>
              <w:t xml:space="preserve"> </w:t>
            </w:r>
            <w:r w:rsidR="006331A6">
              <w:rPr>
                <w:rFonts w:cs="Arial"/>
                <w:szCs w:val="20"/>
              </w:rPr>
              <w:t>9/23/19</w:t>
            </w:r>
          </w:p>
        </w:tc>
        <w:tc>
          <w:tcPr>
            <w:tcW w:w="2361" w:type="pct"/>
          </w:tcPr>
          <w:p w14:paraId="7FD312AF" w14:textId="7215DF35" w:rsidR="00D34434" w:rsidRPr="00AC4D0C" w:rsidRDefault="006331A6" w:rsidP="006331A6">
            <w:pPr>
              <w:jc w:val="left"/>
              <w:rPr>
                <w:rFonts w:cs="Arial"/>
                <w:szCs w:val="20"/>
              </w:rPr>
            </w:pPr>
            <w:r w:rsidRPr="006331A6">
              <w:rPr>
                <w:rFonts w:cs="Arial"/>
                <w:szCs w:val="20"/>
              </w:rPr>
              <w:t>Updated acronyms, Introduction, Training, and added an appendix (Regional Map)</w:t>
            </w:r>
          </w:p>
        </w:tc>
        <w:tc>
          <w:tcPr>
            <w:tcW w:w="954" w:type="pct"/>
          </w:tcPr>
          <w:p w14:paraId="5F80C7C9" w14:textId="36CD6CFC" w:rsidR="00D34434" w:rsidRPr="00AC4D0C" w:rsidRDefault="00C52B10" w:rsidP="006331A6">
            <w:pPr>
              <w:jc w:val="left"/>
              <w:rPr>
                <w:rFonts w:cs="Arial"/>
                <w:szCs w:val="20"/>
              </w:rPr>
            </w:pPr>
            <w:r>
              <w:rPr>
                <w:rFonts w:cs="Arial"/>
                <w:szCs w:val="20"/>
              </w:rPr>
              <w:t xml:space="preserve"> </w:t>
            </w:r>
            <w:r w:rsidR="006331A6">
              <w:rPr>
                <w:rFonts w:cs="Arial"/>
                <w:szCs w:val="20"/>
              </w:rPr>
              <w:t>2,4,5-8</w:t>
            </w:r>
          </w:p>
        </w:tc>
        <w:tc>
          <w:tcPr>
            <w:tcW w:w="999" w:type="pct"/>
          </w:tcPr>
          <w:p w14:paraId="6A7D4428" w14:textId="69F785DE" w:rsidR="00D34434" w:rsidRPr="00AC4D0C" w:rsidRDefault="00C52B10" w:rsidP="006331A6">
            <w:pPr>
              <w:jc w:val="left"/>
              <w:rPr>
                <w:rFonts w:cs="Arial"/>
                <w:szCs w:val="20"/>
              </w:rPr>
            </w:pPr>
            <w:r>
              <w:rPr>
                <w:rFonts w:cs="Arial"/>
                <w:szCs w:val="20"/>
              </w:rPr>
              <w:t xml:space="preserve"> </w:t>
            </w:r>
            <w:proofErr w:type="spellStart"/>
            <w:proofErr w:type="gramStart"/>
            <w:r w:rsidR="006331A6" w:rsidRPr="006331A6">
              <w:rPr>
                <w:rFonts w:cs="Arial"/>
                <w:szCs w:val="20"/>
              </w:rPr>
              <w:t>a.slight</w:t>
            </w:r>
            <w:proofErr w:type="spellEnd"/>
            <w:proofErr w:type="gramEnd"/>
          </w:p>
        </w:tc>
      </w:tr>
      <w:tr w:rsidR="00D34434" w:rsidRPr="00AC4D0C" w14:paraId="56D06959" w14:textId="77777777" w:rsidTr="00320EAA">
        <w:trPr>
          <w:trHeight w:val="360"/>
        </w:trPr>
        <w:tc>
          <w:tcPr>
            <w:tcW w:w="686" w:type="pct"/>
          </w:tcPr>
          <w:p w14:paraId="1385E82D" w14:textId="4A975368" w:rsidR="00D34434" w:rsidRPr="00AC4D0C" w:rsidRDefault="003B3019" w:rsidP="006331A6">
            <w:pPr>
              <w:jc w:val="left"/>
              <w:rPr>
                <w:rFonts w:cs="Arial"/>
                <w:szCs w:val="20"/>
              </w:rPr>
            </w:pPr>
            <w:r>
              <w:rPr>
                <w:rFonts w:cs="Arial"/>
                <w:szCs w:val="20"/>
              </w:rPr>
              <w:t xml:space="preserve"> </w:t>
            </w:r>
            <w:r w:rsidR="006331A6">
              <w:rPr>
                <w:rFonts w:cs="Arial"/>
                <w:szCs w:val="20"/>
              </w:rPr>
              <w:t>10/17/19</w:t>
            </w:r>
          </w:p>
        </w:tc>
        <w:tc>
          <w:tcPr>
            <w:tcW w:w="2361" w:type="pct"/>
          </w:tcPr>
          <w:p w14:paraId="1328AFB6" w14:textId="115A3B99" w:rsidR="00D34434" w:rsidRPr="00AC4D0C" w:rsidRDefault="006331A6" w:rsidP="006331A6">
            <w:pPr>
              <w:jc w:val="left"/>
              <w:rPr>
                <w:rFonts w:cs="Arial"/>
                <w:szCs w:val="20"/>
              </w:rPr>
            </w:pPr>
            <w:r w:rsidRPr="006331A6">
              <w:rPr>
                <w:rFonts w:cs="Arial"/>
                <w:szCs w:val="20"/>
              </w:rPr>
              <w:t>Added “Anthrax” to Other Considerations for 2021</w:t>
            </w:r>
          </w:p>
        </w:tc>
        <w:tc>
          <w:tcPr>
            <w:tcW w:w="954" w:type="pct"/>
          </w:tcPr>
          <w:p w14:paraId="1AE996C9" w14:textId="42BBA92E" w:rsidR="00D34434" w:rsidRPr="00AC4D0C" w:rsidRDefault="00C52B10" w:rsidP="006331A6">
            <w:pPr>
              <w:jc w:val="left"/>
              <w:rPr>
                <w:rFonts w:cs="Arial"/>
                <w:szCs w:val="20"/>
              </w:rPr>
            </w:pPr>
            <w:r>
              <w:rPr>
                <w:rFonts w:cs="Arial"/>
                <w:szCs w:val="20"/>
              </w:rPr>
              <w:t xml:space="preserve"> </w:t>
            </w:r>
            <w:r w:rsidR="006331A6">
              <w:rPr>
                <w:rFonts w:cs="Arial"/>
                <w:szCs w:val="20"/>
              </w:rPr>
              <w:t>13</w:t>
            </w:r>
          </w:p>
        </w:tc>
        <w:tc>
          <w:tcPr>
            <w:tcW w:w="999" w:type="pct"/>
          </w:tcPr>
          <w:p w14:paraId="0E4A634E" w14:textId="57D77B06" w:rsidR="00D34434" w:rsidRPr="00AC4D0C" w:rsidRDefault="00C52B10" w:rsidP="006331A6">
            <w:pPr>
              <w:jc w:val="left"/>
              <w:rPr>
                <w:rFonts w:cs="Arial"/>
                <w:szCs w:val="20"/>
              </w:rPr>
            </w:pPr>
            <w:r>
              <w:rPr>
                <w:rFonts w:cs="Arial"/>
                <w:szCs w:val="20"/>
              </w:rPr>
              <w:t xml:space="preserve"> </w:t>
            </w:r>
            <w:proofErr w:type="spellStart"/>
            <w:proofErr w:type="gramStart"/>
            <w:r w:rsidR="006331A6" w:rsidRPr="006331A6">
              <w:rPr>
                <w:rFonts w:cs="Arial"/>
                <w:szCs w:val="20"/>
              </w:rPr>
              <w:t>a.slight</w:t>
            </w:r>
            <w:proofErr w:type="spellEnd"/>
            <w:proofErr w:type="gramEnd"/>
          </w:p>
        </w:tc>
      </w:tr>
      <w:tr w:rsidR="00D34434" w:rsidRPr="00AC4D0C" w14:paraId="25CF7B6B" w14:textId="77777777" w:rsidTr="00320EAA">
        <w:trPr>
          <w:trHeight w:val="360"/>
        </w:trPr>
        <w:tc>
          <w:tcPr>
            <w:tcW w:w="686" w:type="pct"/>
          </w:tcPr>
          <w:p w14:paraId="14665626" w14:textId="2A67A77B" w:rsidR="00D34434" w:rsidRPr="00AC4D0C" w:rsidRDefault="003B3019" w:rsidP="00C80D11">
            <w:pPr>
              <w:jc w:val="left"/>
              <w:rPr>
                <w:rFonts w:cs="Arial"/>
                <w:szCs w:val="20"/>
              </w:rPr>
            </w:pPr>
            <w:r>
              <w:rPr>
                <w:rFonts w:cs="Arial"/>
                <w:szCs w:val="20"/>
              </w:rPr>
              <w:lastRenderedPageBreak/>
              <w:t xml:space="preserve"> </w:t>
            </w:r>
            <w:r w:rsidR="006331A6">
              <w:rPr>
                <w:rFonts w:cs="Arial"/>
                <w:szCs w:val="20"/>
              </w:rPr>
              <w:t>12/16/22</w:t>
            </w:r>
          </w:p>
        </w:tc>
        <w:tc>
          <w:tcPr>
            <w:tcW w:w="2361" w:type="pct"/>
          </w:tcPr>
          <w:p w14:paraId="3503A8FA" w14:textId="1AAA2834" w:rsidR="00D34434" w:rsidRPr="00AC4D0C" w:rsidRDefault="003B3019" w:rsidP="00C80D11">
            <w:pPr>
              <w:jc w:val="left"/>
              <w:rPr>
                <w:rFonts w:cs="Arial"/>
                <w:szCs w:val="20"/>
              </w:rPr>
            </w:pPr>
            <w:r>
              <w:rPr>
                <w:rFonts w:cs="Arial"/>
                <w:szCs w:val="20"/>
              </w:rPr>
              <w:t>Updated Acronyms</w:t>
            </w:r>
            <w:r w:rsidR="009731BF">
              <w:rPr>
                <w:rFonts w:cs="Arial"/>
                <w:szCs w:val="20"/>
              </w:rPr>
              <w:t xml:space="preserve">, </w:t>
            </w:r>
            <w:r w:rsidR="00C146AF">
              <w:rPr>
                <w:rFonts w:cs="Arial"/>
                <w:szCs w:val="20"/>
              </w:rPr>
              <w:t>a</w:t>
            </w:r>
            <w:r>
              <w:rPr>
                <w:rFonts w:cs="Arial"/>
                <w:szCs w:val="20"/>
              </w:rPr>
              <w:t>cknowledgment list</w:t>
            </w:r>
            <w:r w:rsidR="009731BF">
              <w:rPr>
                <w:rFonts w:cs="Arial"/>
                <w:szCs w:val="20"/>
              </w:rPr>
              <w:t xml:space="preserve">, </w:t>
            </w:r>
            <w:r w:rsidR="00C146AF">
              <w:rPr>
                <w:rFonts w:cs="Arial"/>
                <w:szCs w:val="20"/>
              </w:rPr>
              <w:t>s</w:t>
            </w:r>
            <w:r w:rsidR="009731BF">
              <w:rPr>
                <w:rFonts w:cs="Arial"/>
                <w:szCs w:val="20"/>
              </w:rPr>
              <w:t xml:space="preserve">ponsors </w:t>
            </w:r>
            <w:r w:rsidR="00C146AF">
              <w:rPr>
                <w:rFonts w:cs="Arial"/>
                <w:szCs w:val="20"/>
              </w:rPr>
              <w:t>c</w:t>
            </w:r>
            <w:r w:rsidR="009731BF">
              <w:rPr>
                <w:rFonts w:cs="Arial"/>
                <w:szCs w:val="20"/>
              </w:rPr>
              <w:t>ontacts</w:t>
            </w:r>
            <w:r w:rsidR="00D329FB">
              <w:rPr>
                <w:rFonts w:cs="Arial"/>
                <w:szCs w:val="20"/>
              </w:rPr>
              <w:t xml:space="preserve">, </w:t>
            </w:r>
            <w:r w:rsidR="00C146AF">
              <w:rPr>
                <w:rFonts w:cs="Arial"/>
                <w:szCs w:val="20"/>
              </w:rPr>
              <w:t>p</w:t>
            </w:r>
            <w:r w:rsidR="00D329FB">
              <w:rPr>
                <w:rFonts w:cs="Arial"/>
                <w:szCs w:val="20"/>
              </w:rPr>
              <w:t xml:space="preserve">roposed IPP schedule, previous exercise schedule. Replaced HCC column with Medical Response and Surge Exercise (MRSE). </w:t>
            </w:r>
            <w:r w:rsidR="00320EAA">
              <w:rPr>
                <w:rFonts w:cs="Arial"/>
                <w:szCs w:val="20"/>
              </w:rPr>
              <w:t xml:space="preserve">Made document ADA compliant. </w:t>
            </w:r>
          </w:p>
        </w:tc>
        <w:tc>
          <w:tcPr>
            <w:tcW w:w="954" w:type="pct"/>
          </w:tcPr>
          <w:p w14:paraId="687648FF" w14:textId="0700940E" w:rsidR="00D34434" w:rsidRPr="00AC4D0C" w:rsidRDefault="003B3019" w:rsidP="00C80D11">
            <w:pPr>
              <w:jc w:val="left"/>
              <w:rPr>
                <w:rFonts w:cs="Arial"/>
                <w:szCs w:val="20"/>
              </w:rPr>
            </w:pPr>
            <w:r>
              <w:rPr>
                <w:rFonts w:cs="Arial"/>
                <w:szCs w:val="20"/>
              </w:rPr>
              <w:t xml:space="preserve"> 1-18</w:t>
            </w:r>
          </w:p>
        </w:tc>
        <w:tc>
          <w:tcPr>
            <w:tcW w:w="999" w:type="pct"/>
          </w:tcPr>
          <w:p w14:paraId="676FC722" w14:textId="77777777" w:rsidR="00320EAA" w:rsidRDefault="00320EAA" w:rsidP="00C80D11">
            <w:pPr>
              <w:jc w:val="left"/>
              <w:rPr>
                <w:rFonts w:cs="Arial"/>
                <w:szCs w:val="20"/>
              </w:rPr>
            </w:pPr>
            <w:r>
              <w:rPr>
                <w:rFonts w:cs="Arial"/>
                <w:szCs w:val="20"/>
              </w:rPr>
              <w:t xml:space="preserve"> </w:t>
            </w:r>
            <w:proofErr w:type="spellStart"/>
            <w:proofErr w:type="gramStart"/>
            <w:r w:rsidR="0009612C">
              <w:rPr>
                <w:rFonts w:cs="Arial"/>
                <w:szCs w:val="20"/>
              </w:rPr>
              <w:t>s.mier</w:t>
            </w:r>
            <w:proofErr w:type="spellEnd"/>
            <w:proofErr w:type="gramEnd"/>
          </w:p>
          <w:p w14:paraId="1CDB5819" w14:textId="4EBD6768" w:rsidR="00C146AF" w:rsidRPr="00AC4D0C" w:rsidRDefault="00C146AF" w:rsidP="00C80D11">
            <w:pPr>
              <w:jc w:val="left"/>
              <w:rPr>
                <w:rFonts w:cs="Arial"/>
                <w:szCs w:val="20"/>
              </w:rPr>
            </w:pPr>
          </w:p>
        </w:tc>
      </w:tr>
    </w:tbl>
    <w:p w14:paraId="51ACE82B" w14:textId="223AD3E7" w:rsidR="006331A6" w:rsidRDefault="006331A6">
      <w:pPr>
        <w:spacing w:line="240" w:lineRule="auto"/>
        <w:jc w:val="left"/>
        <w:rPr>
          <w:rFonts w:eastAsia="Times New Roman" w:cs="Arial"/>
          <w:b/>
          <w:bCs/>
          <w:szCs w:val="20"/>
        </w:rPr>
      </w:pPr>
    </w:p>
    <w:p w14:paraId="5B099886" w14:textId="462DFA50" w:rsidR="00320EAA" w:rsidRDefault="00320EAA">
      <w:pPr>
        <w:spacing w:line="240" w:lineRule="auto"/>
        <w:jc w:val="left"/>
        <w:rPr>
          <w:rFonts w:eastAsia="Times New Roman" w:cs="Arial"/>
          <w:b/>
          <w:bCs/>
          <w:szCs w:val="20"/>
        </w:rPr>
      </w:pPr>
      <w:r>
        <w:rPr>
          <w:rFonts w:eastAsia="Times New Roman" w:cs="Arial"/>
          <w:b/>
          <w:bCs/>
          <w:szCs w:val="20"/>
        </w:rPr>
        <w:br w:type="page"/>
      </w:r>
    </w:p>
    <w:p w14:paraId="6CE89A23" w14:textId="77777777" w:rsidR="00AD0EEE" w:rsidRDefault="00AD0EEE" w:rsidP="00D34434">
      <w:pPr>
        <w:rPr>
          <w:rFonts w:eastAsia="Times New Roman" w:cs="Arial"/>
          <w:b/>
          <w:bCs/>
          <w:szCs w:val="20"/>
        </w:rPr>
      </w:pPr>
    </w:p>
    <w:bookmarkStart w:id="11" w:name="_Toc456621535" w:displacedByCustomXml="next"/>
    <w:bookmarkStart w:id="12" w:name="_Toc320196901" w:displacedByCustomXml="next"/>
    <w:sdt>
      <w:sdtPr>
        <w:rPr>
          <w:rFonts w:eastAsia="Calibri"/>
          <w:color w:val="auto"/>
          <w:sz w:val="20"/>
          <w:szCs w:val="22"/>
        </w:rPr>
        <w:id w:val="-2094848481"/>
        <w:docPartObj>
          <w:docPartGallery w:val="Table of Contents"/>
          <w:docPartUnique/>
        </w:docPartObj>
      </w:sdtPr>
      <w:sdtEndPr>
        <w:rPr>
          <w:b/>
          <w:bCs/>
          <w:noProof/>
        </w:rPr>
      </w:sdtEndPr>
      <w:sdtContent>
        <w:p w14:paraId="5F161FF5" w14:textId="77777777" w:rsidR="006331A6" w:rsidRPr="00D927CB" w:rsidRDefault="006331A6" w:rsidP="006331A6">
          <w:pPr>
            <w:pStyle w:val="TOCHeading"/>
            <w:rPr>
              <w:rStyle w:val="Heading1Char"/>
            </w:rPr>
          </w:pPr>
          <w:r w:rsidRPr="00D927CB">
            <w:rPr>
              <w:rStyle w:val="Heading1Char"/>
            </w:rPr>
            <w:t xml:space="preserve">Table of Contents </w:t>
          </w:r>
        </w:p>
        <w:p w14:paraId="39D642CE" w14:textId="635F46F3" w:rsidR="00320EAA" w:rsidRDefault="006331A6">
          <w:pPr>
            <w:pStyle w:val="TOC1"/>
            <w:rPr>
              <w:rFonts w:asciiTheme="minorHAnsi" w:eastAsiaTheme="minorEastAsia" w:hAnsiTheme="minorHAnsi" w:cstheme="minorBidi"/>
              <w:b w:val="0"/>
              <w:noProof/>
              <w:sz w:val="22"/>
              <w:szCs w:val="22"/>
            </w:rPr>
          </w:pPr>
          <w:r>
            <w:rPr>
              <w:b w:val="0"/>
            </w:rPr>
            <w:fldChar w:fldCharType="begin"/>
          </w:r>
          <w:r>
            <w:rPr>
              <w:b w:val="0"/>
            </w:rPr>
            <w:instrText xml:space="preserve"> TOC \o "1-2" \h \z \u </w:instrText>
          </w:r>
          <w:r>
            <w:rPr>
              <w:b w:val="0"/>
            </w:rPr>
            <w:fldChar w:fldCharType="separate"/>
          </w:r>
          <w:hyperlink w:anchor="_Toc122099505" w:history="1">
            <w:r w:rsidR="00320EAA" w:rsidRPr="00424659">
              <w:rPr>
                <w:rStyle w:val="Hyperlink"/>
                <w:noProof/>
              </w:rPr>
              <w:t>Acknowledgments</w:t>
            </w:r>
            <w:r w:rsidR="00320EAA">
              <w:rPr>
                <w:noProof/>
                <w:webHidden/>
              </w:rPr>
              <w:tab/>
            </w:r>
            <w:r w:rsidR="00320EAA">
              <w:rPr>
                <w:noProof/>
                <w:webHidden/>
              </w:rPr>
              <w:fldChar w:fldCharType="begin"/>
            </w:r>
            <w:r w:rsidR="00320EAA">
              <w:rPr>
                <w:noProof/>
                <w:webHidden/>
              </w:rPr>
              <w:instrText xml:space="preserve"> PAGEREF _Toc122099505 \h </w:instrText>
            </w:r>
            <w:r w:rsidR="00320EAA">
              <w:rPr>
                <w:noProof/>
                <w:webHidden/>
              </w:rPr>
            </w:r>
            <w:r w:rsidR="00320EAA">
              <w:rPr>
                <w:noProof/>
                <w:webHidden/>
              </w:rPr>
              <w:fldChar w:fldCharType="separate"/>
            </w:r>
            <w:r w:rsidR="00320EAA">
              <w:rPr>
                <w:noProof/>
                <w:webHidden/>
              </w:rPr>
              <w:t>2</w:t>
            </w:r>
            <w:r w:rsidR="00320EAA">
              <w:rPr>
                <w:noProof/>
                <w:webHidden/>
              </w:rPr>
              <w:fldChar w:fldCharType="end"/>
            </w:r>
          </w:hyperlink>
        </w:p>
        <w:p w14:paraId="6BCDA170" w14:textId="259418B6" w:rsidR="00320EAA" w:rsidRDefault="00FE3BE0">
          <w:pPr>
            <w:pStyle w:val="TOC1"/>
            <w:rPr>
              <w:rFonts w:asciiTheme="minorHAnsi" w:eastAsiaTheme="minorEastAsia" w:hAnsiTheme="minorHAnsi" w:cstheme="minorBidi"/>
              <w:b w:val="0"/>
              <w:noProof/>
              <w:sz w:val="22"/>
              <w:szCs w:val="22"/>
            </w:rPr>
          </w:pPr>
          <w:hyperlink w:anchor="_Toc122099506" w:history="1">
            <w:r w:rsidR="00320EAA" w:rsidRPr="00424659">
              <w:rPr>
                <w:rStyle w:val="Hyperlink"/>
                <w:noProof/>
                <w:spacing w:val="-10"/>
              </w:rPr>
              <w:t>Sponsoring Agency Points of Contact</w:t>
            </w:r>
            <w:r w:rsidR="00320EAA">
              <w:rPr>
                <w:noProof/>
                <w:webHidden/>
              </w:rPr>
              <w:tab/>
            </w:r>
            <w:r w:rsidR="00320EAA">
              <w:rPr>
                <w:noProof/>
                <w:webHidden/>
              </w:rPr>
              <w:fldChar w:fldCharType="begin"/>
            </w:r>
            <w:r w:rsidR="00320EAA">
              <w:rPr>
                <w:noProof/>
                <w:webHidden/>
              </w:rPr>
              <w:instrText xml:space="preserve"> PAGEREF _Toc122099506 \h </w:instrText>
            </w:r>
            <w:r w:rsidR="00320EAA">
              <w:rPr>
                <w:noProof/>
                <w:webHidden/>
              </w:rPr>
            </w:r>
            <w:r w:rsidR="00320EAA">
              <w:rPr>
                <w:noProof/>
                <w:webHidden/>
              </w:rPr>
              <w:fldChar w:fldCharType="separate"/>
            </w:r>
            <w:r w:rsidR="00320EAA">
              <w:rPr>
                <w:noProof/>
                <w:webHidden/>
              </w:rPr>
              <w:t>3</w:t>
            </w:r>
            <w:r w:rsidR="00320EAA">
              <w:rPr>
                <w:noProof/>
                <w:webHidden/>
              </w:rPr>
              <w:fldChar w:fldCharType="end"/>
            </w:r>
          </w:hyperlink>
        </w:p>
        <w:p w14:paraId="4AB74644" w14:textId="5D9E035B" w:rsidR="00320EAA" w:rsidRDefault="00FE3BE0">
          <w:pPr>
            <w:pStyle w:val="TOC1"/>
            <w:rPr>
              <w:rFonts w:asciiTheme="minorHAnsi" w:eastAsiaTheme="minorEastAsia" w:hAnsiTheme="minorHAnsi" w:cstheme="minorBidi"/>
              <w:b w:val="0"/>
              <w:noProof/>
              <w:sz w:val="22"/>
              <w:szCs w:val="22"/>
            </w:rPr>
          </w:pPr>
          <w:hyperlink w:anchor="_Toc122099507" w:history="1">
            <w:r w:rsidR="00320EAA" w:rsidRPr="00424659">
              <w:rPr>
                <w:rStyle w:val="Hyperlink"/>
                <w:noProof/>
              </w:rPr>
              <w:t>Multi-Year Integrated Preparedness Plan Review and Updates</w:t>
            </w:r>
            <w:r w:rsidR="00320EAA">
              <w:rPr>
                <w:noProof/>
                <w:webHidden/>
              </w:rPr>
              <w:tab/>
            </w:r>
            <w:r w:rsidR="00320EAA">
              <w:rPr>
                <w:noProof/>
                <w:webHidden/>
              </w:rPr>
              <w:fldChar w:fldCharType="begin"/>
            </w:r>
            <w:r w:rsidR="00320EAA">
              <w:rPr>
                <w:noProof/>
                <w:webHidden/>
              </w:rPr>
              <w:instrText xml:space="preserve"> PAGEREF _Toc122099507 \h </w:instrText>
            </w:r>
            <w:r w:rsidR="00320EAA">
              <w:rPr>
                <w:noProof/>
                <w:webHidden/>
              </w:rPr>
            </w:r>
            <w:r w:rsidR="00320EAA">
              <w:rPr>
                <w:noProof/>
                <w:webHidden/>
              </w:rPr>
              <w:fldChar w:fldCharType="separate"/>
            </w:r>
            <w:r w:rsidR="00320EAA">
              <w:rPr>
                <w:noProof/>
                <w:webHidden/>
              </w:rPr>
              <w:t>4</w:t>
            </w:r>
            <w:r w:rsidR="00320EAA">
              <w:rPr>
                <w:noProof/>
                <w:webHidden/>
              </w:rPr>
              <w:fldChar w:fldCharType="end"/>
            </w:r>
          </w:hyperlink>
        </w:p>
        <w:p w14:paraId="740F6CDA" w14:textId="386242F6" w:rsidR="00320EAA" w:rsidRDefault="00FE3BE0">
          <w:pPr>
            <w:pStyle w:val="TOC1"/>
            <w:rPr>
              <w:rFonts w:asciiTheme="minorHAnsi" w:eastAsiaTheme="minorEastAsia" w:hAnsiTheme="minorHAnsi" w:cstheme="minorBidi"/>
              <w:b w:val="0"/>
              <w:noProof/>
              <w:sz w:val="22"/>
              <w:szCs w:val="22"/>
            </w:rPr>
          </w:pPr>
          <w:hyperlink w:anchor="_Toc122099508" w:history="1">
            <w:r w:rsidR="00320EAA" w:rsidRPr="00424659">
              <w:rPr>
                <w:rStyle w:val="Hyperlink"/>
                <w:noProof/>
              </w:rPr>
              <w:t>Introduction</w:t>
            </w:r>
            <w:r w:rsidR="00320EAA">
              <w:rPr>
                <w:noProof/>
                <w:webHidden/>
              </w:rPr>
              <w:tab/>
            </w:r>
            <w:r w:rsidR="00320EAA">
              <w:rPr>
                <w:noProof/>
                <w:webHidden/>
              </w:rPr>
              <w:fldChar w:fldCharType="begin"/>
            </w:r>
            <w:r w:rsidR="00320EAA">
              <w:rPr>
                <w:noProof/>
                <w:webHidden/>
              </w:rPr>
              <w:instrText xml:space="preserve"> PAGEREF _Toc122099508 \h </w:instrText>
            </w:r>
            <w:r w:rsidR="00320EAA">
              <w:rPr>
                <w:noProof/>
                <w:webHidden/>
              </w:rPr>
            </w:r>
            <w:r w:rsidR="00320EAA">
              <w:rPr>
                <w:noProof/>
                <w:webHidden/>
              </w:rPr>
              <w:fldChar w:fldCharType="separate"/>
            </w:r>
            <w:r w:rsidR="00320EAA">
              <w:rPr>
                <w:noProof/>
                <w:webHidden/>
              </w:rPr>
              <w:t>7</w:t>
            </w:r>
            <w:r w:rsidR="00320EAA">
              <w:rPr>
                <w:noProof/>
                <w:webHidden/>
              </w:rPr>
              <w:fldChar w:fldCharType="end"/>
            </w:r>
          </w:hyperlink>
        </w:p>
        <w:p w14:paraId="0ECFD259" w14:textId="798DD7D0" w:rsidR="00320EAA" w:rsidRDefault="00FE3BE0">
          <w:pPr>
            <w:pStyle w:val="TOC1"/>
            <w:rPr>
              <w:rFonts w:asciiTheme="minorHAnsi" w:eastAsiaTheme="minorEastAsia" w:hAnsiTheme="minorHAnsi" w:cstheme="minorBidi"/>
              <w:b w:val="0"/>
              <w:noProof/>
              <w:sz w:val="22"/>
              <w:szCs w:val="22"/>
            </w:rPr>
          </w:pPr>
          <w:hyperlink w:anchor="_Toc122099509" w:history="1">
            <w:r w:rsidR="00320EAA" w:rsidRPr="00424659">
              <w:rPr>
                <w:rStyle w:val="Hyperlink"/>
                <w:noProof/>
              </w:rPr>
              <w:t>Training</w:t>
            </w:r>
            <w:r w:rsidR="00320EAA">
              <w:rPr>
                <w:noProof/>
                <w:webHidden/>
              </w:rPr>
              <w:tab/>
            </w:r>
            <w:r w:rsidR="00320EAA">
              <w:rPr>
                <w:noProof/>
                <w:webHidden/>
              </w:rPr>
              <w:fldChar w:fldCharType="begin"/>
            </w:r>
            <w:r w:rsidR="00320EAA">
              <w:rPr>
                <w:noProof/>
                <w:webHidden/>
              </w:rPr>
              <w:instrText xml:space="preserve"> PAGEREF _Toc122099509 \h </w:instrText>
            </w:r>
            <w:r w:rsidR="00320EAA">
              <w:rPr>
                <w:noProof/>
                <w:webHidden/>
              </w:rPr>
            </w:r>
            <w:r w:rsidR="00320EAA">
              <w:rPr>
                <w:noProof/>
                <w:webHidden/>
              </w:rPr>
              <w:fldChar w:fldCharType="separate"/>
            </w:r>
            <w:r w:rsidR="00320EAA">
              <w:rPr>
                <w:noProof/>
                <w:webHidden/>
              </w:rPr>
              <w:t>10</w:t>
            </w:r>
            <w:r w:rsidR="00320EAA">
              <w:rPr>
                <w:noProof/>
                <w:webHidden/>
              </w:rPr>
              <w:fldChar w:fldCharType="end"/>
            </w:r>
          </w:hyperlink>
        </w:p>
        <w:p w14:paraId="55C54A37" w14:textId="159E8A34" w:rsidR="00320EAA" w:rsidRDefault="00FE3BE0">
          <w:pPr>
            <w:pStyle w:val="TOC1"/>
            <w:rPr>
              <w:rFonts w:asciiTheme="minorHAnsi" w:eastAsiaTheme="minorEastAsia" w:hAnsiTheme="minorHAnsi" w:cstheme="minorBidi"/>
              <w:b w:val="0"/>
              <w:noProof/>
              <w:sz w:val="22"/>
              <w:szCs w:val="22"/>
            </w:rPr>
          </w:pPr>
          <w:hyperlink w:anchor="_Toc122099510" w:history="1">
            <w:r w:rsidR="00320EAA" w:rsidRPr="00424659">
              <w:rPr>
                <w:rStyle w:val="Hyperlink"/>
                <w:noProof/>
              </w:rPr>
              <w:t>Recommended Exercise Schedule</w:t>
            </w:r>
            <w:r w:rsidR="00320EAA">
              <w:rPr>
                <w:noProof/>
                <w:webHidden/>
              </w:rPr>
              <w:tab/>
            </w:r>
            <w:r w:rsidR="00320EAA">
              <w:rPr>
                <w:noProof/>
                <w:webHidden/>
              </w:rPr>
              <w:fldChar w:fldCharType="begin"/>
            </w:r>
            <w:r w:rsidR="00320EAA">
              <w:rPr>
                <w:noProof/>
                <w:webHidden/>
              </w:rPr>
              <w:instrText xml:space="preserve"> PAGEREF _Toc122099510 \h </w:instrText>
            </w:r>
            <w:r w:rsidR="00320EAA">
              <w:rPr>
                <w:noProof/>
                <w:webHidden/>
              </w:rPr>
            </w:r>
            <w:r w:rsidR="00320EAA">
              <w:rPr>
                <w:noProof/>
                <w:webHidden/>
              </w:rPr>
              <w:fldChar w:fldCharType="separate"/>
            </w:r>
            <w:r w:rsidR="00320EAA">
              <w:rPr>
                <w:noProof/>
                <w:webHidden/>
              </w:rPr>
              <w:t>11</w:t>
            </w:r>
            <w:r w:rsidR="00320EAA">
              <w:rPr>
                <w:noProof/>
                <w:webHidden/>
              </w:rPr>
              <w:fldChar w:fldCharType="end"/>
            </w:r>
          </w:hyperlink>
        </w:p>
        <w:p w14:paraId="0CBD0E6E" w14:textId="2B2F9CF2" w:rsidR="00320EAA" w:rsidRDefault="00FE3BE0">
          <w:pPr>
            <w:pStyle w:val="TOC1"/>
            <w:rPr>
              <w:rFonts w:asciiTheme="minorHAnsi" w:eastAsiaTheme="minorEastAsia" w:hAnsiTheme="minorHAnsi" w:cstheme="minorBidi"/>
              <w:b w:val="0"/>
              <w:noProof/>
              <w:sz w:val="22"/>
              <w:szCs w:val="22"/>
            </w:rPr>
          </w:pPr>
          <w:hyperlink w:anchor="_Toc122099511" w:history="1">
            <w:r w:rsidR="00320EAA" w:rsidRPr="00424659">
              <w:rPr>
                <w:rStyle w:val="Hyperlink"/>
                <w:noProof/>
              </w:rPr>
              <w:t>Appendix A: Previous Exercises</w:t>
            </w:r>
            <w:r w:rsidR="00320EAA">
              <w:rPr>
                <w:noProof/>
                <w:webHidden/>
              </w:rPr>
              <w:tab/>
            </w:r>
            <w:r w:rsidR="00320EAA">
              <w:rPr>
                <w:noProof/>
                <w:webHidden/>
              </w:rPr>
              <w:fldChar w:fldCharType="begin"/>
            </w:r>
            <w:r w:rsidR="00320EAA">
              <w:rPr>
                <w:noProof/>
                <w:webHidden/>
              </w:rPr>
              <w:instrText xml:space="preserve"> PAGEREF _Toc122099511 \h </w:instrText>
            </w:r>
            <w:r w:rsidR="00320EAA">
              <w:rPr>
                <w:noProof/>
                <w:webHidden/>
              </w:rPr>
            </w:r>
            <w:r w:rsidR="00320EAA">
              <w:rPr>
                <w:noProof/>
                <w:webHidden/>
              </w:rPr>
              <w:fldChar w:fldCharType="separate"/>
            </w:r>
            <w:r w:rsidR="00320EAA">
              <w:rPr>
                <w:noProof/>
                <w:webHidden/>
              </w:rPr>
              <w:t>16</w:t>
            </w:r>
            <w:r w:rsidR="00320EAA">
              <w:rPr>
                <w:noProof/>
                <w:webHidden/>
              </w:rPr>
              <w:fldChar w:fldCharType="end"/>
            </w:r>
          </w:hyperlink>
        </w:p>
        <w:p w14:paraId="4BDF3B65" w14:textId="31A4CFEC" w:rsidR="00320EAA" w:rsidRDefault="00FE3BE0">
          <w:pPr>
            <w:pStyle w:val="TOC1"/>
            <w:rPr>
              <w:rFonts w:asciiTheme="minorHAnsi" w:eastAsiaTheme="minorEastAsia" w:hAnsiTheme="minorHAnsi" w:cstheme="minorBidi"/>
              <w:b w:val="0"/>
              <w:noProof/>
              <w:sz w:val="22"/>
              <w:szCs w:val="22"/>
            </w:rPr>
          </w:pPr>
          <w:hyperlink w:anchor="_Toc122099512" w:history="1">
            <w:r w:rsidR="00320EAA" w:rsidRPr="00424659">
              <w:rPr>
                <w:rStyle w:val="Hyperlink"/>
                <w:rFonts w:eastAsia="Arial"/>
                <w:noProof/>
              </w:rPr>
              <w:t>Appendix B: CAL OES Mutual Aid Region Map</w:t>
            </w:r>
            <w:r w:rsidR="00320EAA">
              <w:rPr>
                <w:noProof/>
                <w:webHidden/>
              </w:rPr>
              <w:tab/>
            </w:r>
            <w:r w:rsidR="00320EAA">
              <w:rPr>
                <w:noProof/>
                <w:webHidden/>
              </w:rPr>
              <w:fldChar w:fldCharType="begin"/>
            </w:r>
            <w:r w:rsidR="00320EAA">
              <w:rPr>
                <w:noProof/>
                <w:webHidden/>
              </w:rPr>
              <w:instrText xml:space="preserve"> PAGEREF _Toc122099512 \h </w:instrText>
            </w:r>
            <w:r w:rsidR="00320EAA">
              <w:rPr>
                <w:noProof/>
                <w:webHidden/>
              </w:rPr>
            </w:r>
            <w:r w:rsidR="00320EAA">
              <w:rPr>
                <w:noProof/>
                <w:webHidden/>
              </w:rPr>
              <w:fldChar w:fldCharType="separate"/>
            </w:r>
            <w:r w:rsidR="00320EAA">
              <w:rPr>
                <w:noProof/>
                <w:webHidden/>
              </w:rPr>
              <w:t>19</w:t>
            </w:r>
            <w:r w:rsidR="00320EAA">
              <w:rPr>
                <w:noProof/>
                <w:webHidden/>
              </w:rPr>
              <w:fldChar w:fldCharType="end"/>
            </w:r>
          </w:hyperlink>
        </w:p>
        <w:p w14:paraId="15331FAB" w14:textId="4DF67CB0" w:rsidR="006331A6" w:rsidRPr="00163C34" w:rsidRDefault="006331A6" w:rsidP="006331A6">
          <w:r>
            <w:rPr>
              <w:b/>
              <w:sz w:val="28"/>
              <w:szCs w:val="24"/>
            </w:rPr>
            <w:fldChar w:fldCharType="end"/>
          </w:r>
        </w:p>
      </w:sdtContent>
    </w:sdt>
    <w:p w14:paraId="4B8F7A43" w14:textId="5A523BB9" w:rsidR="00E82F2F" w:rsidRPr="00C80D11" w:rsidRDefault="00C80D11" w:rsidP="00C80D11">
      <w:pPr>
        <w:spacing w:line="240" w:lineRule="auto"/>
        <w:jc w:val="left"/>
        <w:rPr>
          <w:rFonts w:eastAsia="Times New Roman"/>
          <w:color w:val="002060"/>
          <w:sz w:val="44"/>
          <w:szCs w:val="36"/>
        </w:rPr>
      </w:pPr>
      <w:r>
        <w:br w:type="page"/>
      </w:r>
    </w:p>
    <w:p w14:paraId="394A1708" w14:textId="3B1CE914" w:rsidR="00D34434" w:rsidRPr="00247CAE" w:rsidRDefault="00D34434" w:rsidP="00D34434">
      <w:pPr>
        <w:pStyle w:val="Heading1"/>
      </w:pPr>
      <w:bookmarkStart w:id="13" w:name="_Toc122099508"/>
      <w:r w:rsidRPr="00247CAE">
        <w:lastRenderedPageBreak/>
        <w:t>I</w:t>
      </w:r>
      <w:bookmarkEnd w:id="12"/>
      <w:bookmarkEnd w:id="11"/>
      <w:r w:rsidR="00C80D11">
        <w:t>ntroduction</w:t>
      </w:r>
      <w:bookmarkEnd w:id="13"/>
    </w:p>
    <w:p w14:paraId="399D42AE" w14:textId="690296E8" w:rsidR="00B648E9" w:rsidRPr="00B648E9" w:rsidRDefault="00D34434" w:rsidP="00B648E9">
      <w:pPr>
        <w:spacing w:after="200"/>
        <w:jc w:val="left"/>
        <w:rPr>
          <w:rFonts w:cs="Arial"/>
          <w:sz w:val="24"/>
          <w:szCs w:val="24"/>
        </w:rPr>
      </w:pPr>
      <w:r w:rsidRPr="00C80D11">
        <w:rPr>
          <w:rFonts w:cs="Arial"/>
          <w:sz w:val="24"/>
          <w:szCs w:val="24"/>
        </w:rPr>
        <w:t xml:space="preserve">The purpose of this </w:t>
      </w:r>
      <w:r w:rsidR="00C80D11">
        <w:rPr>
          <w:rFonts w:cs="Arial"/>
          <w:sz w:val="24"/>
          <w:szCs w:val="24"/>
        </w:rPr>
        <w:t>M</w:t>
      </w:r>
      <w:r w:rsidRPr="00C80D11">
        <w:rPr>
          <w:rFonts w:cs="Arial"/>
          <w:sz w:val="24"/>
          <w:szCs w:val="24"/>
        </w:rPr>
        <w:t>ulti-</w:t>
      </w:r>
      <w:r w:rsidR="00C80D11">
        <w:rPr>
          <w:rFonts w:cs="Arial"/>
          <w:sz w:val="24"/>
          <w:szCs w:val="24"/>
        </w:rPr>
        <w:t>Y</w:t>
      </w:r>
      <w:r w:rsidRPr="00C80D11">
        <w:rPr>
          <w:rFonts w:cs="Arial"/>
          <w:sz w:val="24"/>
          <w:szCs w:val="24"/>
        </w:rPr>
        <w:t>ear</w:t>
      </w:r>
      <w:r w:rsidR="00C80D11">
        <w:rPr>
          <w:rFonts w:cs="Arial"/>
          <w:sz w:val="24"/>
          <w:szCs w:val="24"/>
        </w:rPr>
        <w:t xml:space="preserve"> Integrated Preparedness Plan</w:t>
      </w:r>
      <w:r w:rsidRPr="00C80D11">
        <w:rPr>
          <w:rFonts w:cs="Arial"/>
          <w:sz w:val="24"/>
          <w:szCs w:val="24"/>
        </w:rPr>
        <w:t xml:space="preserve"> (</w:t>
      </w:r>
      <w:r w:rsidR="00C80D11">
        <w:rPr>
          <w:rFonts w:cs="Arial"/>
          <w:sz w:val="24"/>
          <w:szCs w:val="24"/>
        </w:rPr>
        <w:t xml:space="preserve">IPP, formerly </w:t>
      </w:r>
      <w:r w:rsidRPr="00C80D11">
        <w:rPr>
          <w:rFonts w:cs="Arial"/>
          <w:sz w:val="24"/>
          <w:szCs w:val="24"/>
        </w:rPr>
        <w:t>MYTEP) is to aid the Statewide Medical and Health Exercise (SWMHE</w:t>
      </w:r>
      <w:r w:rsidR="00367E51" w:rsidRPr="00C80D11">
        <w:rPr>
          <w:rFonts w:cs="Arial"/>
          <w:sz w:val="24"/>
          <w:szCs w:val="24"/>
        </w:rPr>
        <w:t>) Planning</w:t>
      </w:r>
      <w:r w:rsidR="002232B2" w:rsidRPr="00C80D11">
        <w:rPr>
          <w:rFonts w:cs="Arial"/>
          <w:sz w:val="24"/>
          <w:szCs w:val="24"/>
        </w:rPr>
        <w:t xml:space="preserve"> Workgroup (</w:t>
      </w:r>
      <w:r w:rsidR="00B648E9">
        <w:rPr>
          <w:rFonts w:cs="Arial"/>
          <w:sz w:val="24"/>
          <w:szCs w:val="24"/>
        </w:rPr>
        <w:t>E</w:t>
      </w:r>
      <w:r w:rsidR="002232B2" w:rsidRPr="00C80D11">
        <w:rPr>
          <w:rFonts w:cs="Arial"/>
          <w:sz w:val="24"/>
          <w:szCs w:val="24"/>
        </w:rPr>
        <w:t>PW)</w:t>
      </w:r>
      <w:r w:rsidR="006F32ED" w:rsidRPr="00C80D11">
        <w:rPr>
          <w:rFonts w:cs="Arial"/>
          <w:sz w:val="24"/>
          <w:szCs w:val="24"/>
        </w:rPr>
        <w:t xml:space="preserve"> </w:t>
      </w:r>
      <w:r w:rsidRPr="00C80D11">
        <w:rPr>
          <w:rFonts w:cs="Arial"/>
          <w:sz w:val="24"/>
          <w:szCs w:val="24"/>
        </w:rPr>
        <w:t>p</w:t>
      </w:r>
      <w:r w:rsidR="00B648E9">
        <w:rPr>
          <w:rFonts w:cs="Arial"/>
          <w:sz w:val="24"/>
          <w:szCs w:val="24"/>
        </w:rPr>
        <w:t>articipants</w:t>
      </w:r>
      <w:r w:rsidRPr="00C80D11">
        <w:rPr>
          <w:rFonts w:cs="Arial"/>
          <w:sz w:val="24"/>
          <w:szCs w:val="24"/>
        </w:rPr>
        <w:t xml:space="preserve"> with guidance and recommendations to accomplish the following:</w:t>
      </w:r>
    </w:p>
    <w:p w14:paraId="6113DE82" w14:textId="77777777" w:rsidR="00B648E9" w:rsidRPr="00B648E9" w:rsidRDefault="00B648E9" w:rsidP="00B648E9">
      <w:pPr>
        <w:pStyle w:val="ListParagraph"/>
        <w:numPr>
          <w:ilvl w:val="0"/>
          <w:numId w:val="4"/>
        </w:numPr>
        <w:jc w:val="left"/>
        <w:rPr>
          <w:sz w:val="24"/>
          <w:szCs w:val="24"/>
        </w:rPr>
      </w:pPr>
      <w:r w:rsidRPr="00B648E9">
        <w:rPr>
          <w:sz w:val="24"/>
          <w:szCs w:val="24"/>
        </w:rPr>
        <w:t xml:space="preserve">Identify priorities for improving preparedness and response capabilities of the organization </w:t>
      </w:r>
    </w:p>
    <w:p w14:paraId="41BEB2FF" w14:textId="75B1DFDE" w:rsidR="00D34434" w:rsidRPr="00C80D11" w:rsidRDefault="00D34434" w:rsidP="009B3F13">
      <w:pPr>
        <w:pStyle w:val="ListParagraph"/>
        <w:numPr>
          <w:ilvl w:val="0"/>
          <w:numId w:val="4"/>
        </w:numPr>
        <w:jc w:val="left"/>
        <w:rPr>
          <w:sz w:val="24"/>
          <w:szCs w:val="24"/>
        </w:rPr>
      </w:pPr>
      <w:r w:rsidRPr="00C80D11">
        <w:rPr>
          <w:sz w:val="24"/>
          <w:szCs w:val="24"/>
        </w:rPr>
        <w:t xml:space="preserve">Defining the cycle of training and exercise activities that will provide the most benefit in the development, </w:t>
      </w:r>
      <w:r w:rsidR="00D927CB" w:rsidRPr="00C80D11">
        <w:rPr>
          <w:sz w:val="24"/>
          <w:szCs w:val="24"/>
        </w:rPr>
        <w:t>refinement,</w:t>
      </w:r>
      <w:r w:rsidRPr="00C80D11">
        <w:rPr>
          <w:sz w:val="24"/>
          <w:szCs w:val="24"/>
        </w:rPr>
        <w:t xml:space="preserve"> and maintenance of those capabilities</w:t>
      </w:r>
    </w:p>
    <w:p w14:paraId="4BE5A50C" w14:textId="77777777" w:rsidR="00D34434" w:rsidRPr="00C80D11" w:rsidRDefault="00D34434" w:rsidP="00C80D11">
      <w:pPr>
        <w:jc w:val="left"/>
        <w:rPr>
          <w:rFonts w:cs="Arial"/>
          <w:sz w:val="24"/>
          <w:szCs w:val="24"/>
        </w:rPr>
      </w:pPr>
    </w:p>
    <w:p w14:paraId="43F990FB" w14:textId="617D348A" w:rsidR="00D34434" w:rsidRPr="00C80D11" w:rsidRDefault="00B648E9" w:rsidP="00C80D11">
      <w:pPr>
        <w:jc w:val="left"/>
        <w:rPr>
          <w:rFonts w:cs="Arial"/>
          <w:sz w:val="24"/>
          <w:szCs w:val="24"/>
        </w:rPr>
      </w:pPr>
      <w:r>
        <w:rPr>
          <w:rFonts w:cs="Arial"/>
          <w:sz w:val="24"/>
          <w:szCs w:val="24"/>
        </w:rPr>
        <w:t>T</w:t>
      </w:r>
      <w:r w:rsidR="00D34434" w:rsidRPr="00C80D11">
        <w:rPr>
          <w:rFonts w:cs="Arial"/>
          <w:sz w:val="24"/>
          <w:szCs w:val="24"/>
        </w:rPr>
        <w:t xml:space="preserve">raining and exercise schedules provided in this document illustrate proposed activities for </w:t>
      </w:r>
      <w:r>
        <w:rPr>
          <w:rFonts w:cs="Arial"/>
          <w:sz w:val="24"/>
          <w:szCs w:val="24"/>
        </w:rPr>
        <w:t>the next five years</w:t>
      </w:r>
      <w:r w:rsidR="00D34434" w:rsidRPr="00C80D11">
        <w:rPr>
          <w:rFonts w:cs="Arial"/>
          <w:sz w:val="24"/>
          <w:szCs w:val="24"/>
        </w:rPr>
        <w:t xml:space="preserve">. This is a </w:t>
      </w:r>
      <w:r w:rsidR="006F32ED" w:rsidRPr="00C80D11">
        <w:rPr>
          <w:rFonts w:cs="Arial"/>
          <w:sz w:val="24"/>
          <w:szCs w:val="24"/>
        </w:rPr>
        <w:t xml:space="preserve">working </w:t>
      </w:r>
      <w:r w:rsidR="00D34434" w:rsidRPr="00C80D11">
        <w:rPr>
          <w:rFonts w:cs="Arial"/>
          <w:sz w:val="24"/>
          <w:szCs w:val="24"/>
        </w:rPr>
        <w:t>document that will be updated and refined on an annual basis or as ne</w:t>
      </w:r>
      <w:r>
        <w:rPr>
          <w:rFonts w:cs="Arial"/>
          <w:sz w:val="24"/>
          <w:szCs w:val="24"/>
        </w:rPr>
        <w:t>cessary</w:t>
      </w:r>
      <w:r w:rsidR="00D34434" w:rsidRPr="00C80D11">
        <w:rPr>
          <w:rFonts w:cs="Arial"/>
          <w:sz w:val="24"/>
          <w:szCs w:val="24"/>
        </w:rPr>
        <w:t xml:space="preserve"> by the SWMHE </w:t>
      </w:r>
      <w:r>
        <w:rPr>
          <w:rFonts w:cs="Arial"/>
          <w:sz w:val="24"/>
          <w:szCs w:val="24"/>
        </w:rPr>
        <w:t>E</w:t>
      </w:r>
      <w:r w:rsidR="006F32ED" w:rsidRPr="00C80D11">
        <w:rPr>
          <w:rFonts w:cs="Arial"/>
          <w:sz w:val="24"/>
          <w:szCs w:val="24"/>
        </w:rPr>
        <w:t>PW</w:t>
      </w:r>
      <w:r w:rsidR="00D34434" w:rsidRPr="00C80D11">
        <w:rPr>
          <w:rFonts w:cs="Arial"/>
          <w:sz w:val="24"/>
          <w:szCs w:val="24"/>
        </w:rPr>
        <w:t xml:space="preserve"> or through input from the Local Capabilities Workgroup</w:t>
      </w:r>
      <w:r>
        <w:rPr>
          <w:rFonts w:cs="Arial"/>
          <w:sz w:val="24"/>
          <w:szCs w:val="24"/>
        </w:rPr>
        <w:t xml:space="preserve"> (LCWG)</w:t>
      </w:r>
      <w:r w:rsidR="00D34434" w:rsidRPr="00C80D11">
        <w:rPr>
          <w:rFonts w:cs="Arial"/>
          <w:sz w:val="24"/>
          <w:szCs w:val="24"/>
        </w:rPr>
        <w:t>.</w:t>
      </w:r>
    </w:p>
    <w:p w14:paraId="583BBBEF" w14:textId="77777777" w:rsidR="00D34434" w:rsidRPr="00C80D11" w:rsidRDefault="00D34434" w:rsidP="00C80D11">
      <w:pPr>
        <w:jc w:val="left"/>
        <w:rPr>
          <w:rFonts w:cs="Arial"/>
          <w:sz w:val="24"/>
          <w:szCs w:val="24"/>
        </w:rPr>
      </w:pPr>
    </w:p>
    <w:p w14:paraId="197806C5" w14:textId="35C4BB26" w:rsidR="00D34434" w:rsidRPr="00C80D11" w:rsidRDefault="00D34434" w:rsidP="00C80D11">
      <w:pPr>
        <w:spacing w:after="200"/>
        <w:jc w:val="left"/>
        <w:rPr>
          <w:rFonts w:cs="Arial"/>
          <w:sz w:val="24"/>
          <w:szCs w:val="24"/>
        </w:rPr>
      </w:pPr>
      <w:r w:rsidRPr="00C80D11">
        <w:rPr>
          <w:rFonts w:cs="Arial"/>
          <w:sz w:val="24"/>
          <w:szCs w:val="24"/>
        </w:rPr>
        <w:t>This document has been developed based on the capabilities, standards,</w:t>
      </w:r>
      <w:r w:rsidR="00B648E9">
        <w:rPr>
          <w:rFonts w:cs="Arial"/>
          <w:sz w:val="24"/>
          <w:szCs w:val="24"/>
        </w:rPr>
        <w:t xml:space="preserve"> guidelines,</w:t>
      </w:r>
      <w:r w:rsidRPr="00C80D11">
        <w:rPr>
          <w:rFonts w:cs="Arial"/>
          <w:sz w:val="24"/>
          <w:szCs w:val="24"/>
        </w:rPr>
        <w:t xml:space="preserve"> and grant requirements of greatest concern to participating jurisdictions and agencies. These include: </w:t>
      </w:r>
    </w:p>
    <w:p w14:paraId="2C37DB8C" w14:textId="4C881A79" w:rsidR="00B648E9" w:rsidRDefault="00B648E9" w:rsidP="009B3F13">
      <w:pPr>
        <w:pStyle w:val="ListParagraph"/>
        <w:numPr>
          <w:ilvl w:val="0"/>
          <w:numId w:val="5"/>
        </w:numPr>
        <w:jc w:val="left"/>
        <w:rPr>
          <w:b/>
          <w:sz w:val="24"/>
          <w:szCs w:val="24"/>
        </w:rPr>
      </w:pPr>
      <w:r w:rsidRPr="00B648E9">
        <w:rPr>
          <w:b/>
          <w:sz w:val="24"/>
          <w:szCs w:val="24"/>
        </w:rPr>
        <w:t>Homeland Security Exercise and Evaluation Program (HSEEP)</w:t>
      </w:r>
    </w:p>
    <w:p w14:paraId="1C6C6615" w14:textId="1265603F" w:rsidR="00B648E9" w:rsidRPr="00B648E9" w:rsidRDefault="00B648E9" w:rsidP="00B648E9">
      <w:pPr>
        <w:pStyle w:val="ListParagraph"/>
        <w:numPr>
          <w:ilvl w:val="0"/>
          <w:numId w:val="0"/>
        </w:numPr>
        <w:ind w:left="720"/>
        <w:jc w:val="left"/>
        <w:rPr>
          <w:bCs/>
          <w:sz w:val="24"/>
          <w:szCs w:val="24"/>
        </w:rPr>
      </w:pPr>
      <w:r w:rsidRPr="00B648E9">
        <w:rPr>
          <w:bCs/>
          <w:sz w:val="24"/>
          <w:szCs w:val="24"/>
        </w:rPr>
        <w:t>The Homeland Security Exercise and Evaluation Program (HSEEP) provides a set of guiding principles for exercise programs, as well as a common approach to exercise program management, design and development, conduct, evaluation, and improvement planning. HSEEP exercise and evaluation doctrine is flexible, scalable, and adaptable, and is for use by stakeholders across the whole community. HSEEP doctrine is applicable for exercises across all mission areas prevention, protection, mitigation, response, and recovery. Using HSEEP supports the National Preparedness System by providing a consistent approach to exercises and measuring progress toward building, sustaining, and delivering core capabilities.</w:t>
      </w:r>
    </w:p>
    <w:p w14:paraId="54F8B1FC" w14:textId="7EDBE4FE" w:rsidR="00D34434" w:rsidRPr="00C80D11" w:rsidRDefault="00D34434" w:rsidP="009B3F13">
      <w:pPr>
        <w:pStyle w:val="ListParagraph"/>
        <w:numPr>
          <w:ilvl w:val="0"/>
          <w:numId w:val="5"/>
        </w:numPr>
        <w:jc w:val="left"/>
        <w:rPr>
          <w:b/>
          <w:sz w:val="24"/>
          <w:szCs w:val="24"/>
        </w:rPr>
      </w:pPr>
      <w:r w:rsidRPr="00C80D11">
        <w:rPr>
          <w:b/>
          <w:sz w:val="24"/>
          <w:szCs w:val="24"/>
        </w:rPr>
        <w:t>Public Health Emergency Preparedness (PHEP)</w:t>
      </w:r>
      <w:r w:rsidR="007238FC" w:rsidRPr="00C80D11">
        <w:rPr>
          <w:b/>
          <w:sz w:val="24"/>
          <w:szCs w:val="24"/>
        </w:rPr>
        <w:tab/>
      </w:r>
      <w:r w:rsidR="007238FC" w:rsidRPr="00C80D11">
        <w:rPr>
          <w:b/>
          <w:sz w:val="24"/>
          <w:szCs w:val="24"/>
        </w:rPr>
        <w:br/>
      </w:r>
      <w:r w:rsidR="00B648E9" w:rsidRPr="00B648E9">
        <w:rPr>
          <w:sz w:val="24"/>
          <w:szCs w:val="28"/>
        </w:rPr>
        <w:t>The PHEP cooperative agreement provides funding for activities that are targeted specifically for the development of emergency-readiness in public health departments. PHEP funding is provided annually within a five-year cycle. Jurisdictions receiving funding must also test each of the 15 PHEP capabilities within the five-year grant cycle.</w:t>
      </w:r>
    </w:p>
    <w:p w14:paraId="1F0A97F6" w14:textId="45E001FC" w:rsidR="00B648E9" w:rsidRDefault="00D34434" w:rsidP="00B648E9">
      <w:pPr>
        <w:pStyle w:val="ListParagraph"/>
        <w:numPr>
          <w:ilvl w:val="0"/>
          <w:numId w:val="5"/>
        </w:numPr>
        <w:jc w:val="left"/>
        <w:rPr>
          <w:b/>
          <w:sz w:val="24"/>
          <w:szCs w:val="24"/>
        </w:rPr>
      </w:pPr>
      <w:r w:rsidRPr="00C80D11">
        <w:rPr>
          <w:b/>
          <w:sz w:val="24"/>
          <w:szCs w:val="24"/>
        </w:rPr>
        <w:lastRenderedPageBreak/>
        <w:t>Hospital Preparedness Program (HPP)</w:t>
      </w:r>
      <w:r w:rsidR="007238FC" w:rsidRPr="00C80D11">
        <w:rPr>
          <w:b/>
          <w:sz w:val="24"/>
          <w:szCs w:val="24"/>
        </w:rPr>
        <w:tab/>
      </w:r>
      <w:r w:rsidR="007238FC" w:rsidRPr="00C80D11">
        <w:rPr>
          <w:b/>
          <w:sz w:val="24"/>
          <w:szCs w:val="24"/>
        </w:rPr>
        <w:br/>
      </w:r>
      <w:r w:rsidRPr="00C80D11">
        <w:rPr>
          <w:sz w:val="24"/>
          <w:szCs w:val="24"/>
        </w:rPr>
        <w:t xml:space="preserve">Administered by the US Department of Health and Human </w:t>
      </w:r>
      <w:r w:rsidR="005F3454" w:rsidRPr="00C80D11">
        <w:rPr>
          <w:sz w:val="24"/>
          <w:szCs w:val="24"/>
        </w:rPr>
        <w:t>Services</w:t>
      </w:r>
      <w:r w:rsidRPr="00C80D11">
        <w:rPr>
          <w:sz w:val="24"/>
          <w:szCs w:val="24"/>
        </w:rPr>
        <w:t xml:space="preserve"> (DHHS) Office of the </w:t>
      </w:r>
      <w:r w:rsidR="00B648E9" w:rsidRPr="00C80D11">
        <w:rPr>
          <w:sz w:val="24"/>
          <w:szCs w:val="24"/>
        </w:rPr>
        <w:t>A</w:t>
      </w:r>
      <w:r w:rsidR="00B648E9">
        <w:rPr>
          <w:sz w:val="24"/>
          <w:szCs w:val="24"/>
        </w:rPr>
        <w:t xml:space="preserve">dministration for Strategic Preparedness and Response </w:t>
      </w:r>
      <w:r w:rsidRPr="00C80D11">
        <w:rPr>
          <w:sz w:val="24"/>
          <w:szCs w:val="24"/>
        </w:rPr>
        <w:t xml:space="preserve">(ASPR), the HPP program provides grants to states, municipalities, and tribal governments to strengthen healthcare coalitions. Most of the funding is utilized by healthcare organizations to improve upon the </w:t>
      </w:r>
      <w:r w:rsidR="00B648E9">
        <w:rPr>
          <w:sz w:val="24"/>
          <w:szCs w:val="24"/>
        </w:rPr>
        <w:t xml:space="preserve">four </w:t>
      </w:r>
      <w:r w:rsidRPr="00C80D11">
        <w:rPr>
          <w:sz w:val="24"/>
          <w:szCs w:val="24"/>
        </w:rPr>
        <w:t>HPP capabilities, including medical surge.</w:t>
      </w:r>
      <w:r w:rsidRPr="00C80D11">
        <w:rPr>
          <w:b/>
          <w:sz w:val="24"/>
          <w:szCs w:val="24"/>
        </w:rPr>
        <w:t xml:space="preserve"> </w:t>
      </w:r>
    </w:p>
    <w:p w14:paraId="688DFBE9" w14:textId="77777777" w:rsidR="009731BF" w:rsidRPr="009731BF" w:rsidRDefault="009731BF" w:rsidP="009731BF">
      <w:pPr>
        <w:pStyle w:val="ListParagraph"/>
        <w:numPr>
          <w:ilvl w:val="0"/>
          <w:numId w:val="5"/>
        </w:numPr>
        <w:jc w:val="left"/>
        <w:rPr>
          <w:b/>
          <w:sz w:val="24"/>
          <w:szCs w:val="24"/>
        </w:rPr>
      </w:pPr>
      <w:r w:rsidRPr="009731BF">
        <w:rPr>
          <w:b/>
          <w:sz w:val="24"/>
          <w:szCs w:val="24"/>
        </w:rPr>
        <w:t xml:space="preserve">Medical Response and Surge Exercise (MRSE) </w:t>
      </w:r>
    </w:p>
    <w:p w14:paraId="3DB8FBCF" w14:textId="4A062388" w:rsidR="009731BF" w:rsidRPr="009731BF" w:rsidRDefault="009731BF" w:rsidP="009731BF">
      <w:pPr>
        <w:pStyle w:val="ListParagraph"/>
        <w:numPr>
          <w:ilvl w:val="0"/>
          <w:numId w:val="0"/>
        </w:numPr>
        <w:ind w:left="720"/>
        <w:jc w:val="left"/>
        <w:rPr>
          <w:b/>
          <w:sz w:val="24"/>
          <w:szCs w:val="24"/>
          <w:highlight w:val="yellow"/>
        </w:rPr>
      </w:pPr>
      <w:r w:rsidRPr="009731BF">
        <w:rPr>
          <w:bCs/>
          <w:sz w:val="24"/>
          <w:szCs w:val="24"/>
        </w:rPr>
        <w:t>The MRSE is designed to examine and evaluate the ability of HCCs and other stakeholders to support medical surge, and specifically, how coalitions help patients receive the care they need at the right place, at the right time, and with the right resources during medical surge; decrease deaths, injuries, and illnesses resulting from medical surge; and promote health care delivery system resilience in the aftermath of medical surge.</w:t>
      </w:r>
      <w:r w:rsidRPr="009731BF">
        <w:rPr>
          <w:bCs/>
          <w:sz w:val="24"/>
          <w:szCs w:val="24"/>
          <w:highlight w:val="yellow"/>
        </w:rPr>
        <w:t xml:space="preserve"> </w:t>
      </w:r>
    </w:p>
    <w:p w14:paraId="5B91D6B3" w14:textId="77777777" w:rsidR="00B648E9" w:rsidRPr="00B648E9" w:rsidRDefault="00B648E9" w:rsidP="00B648E9">
      <w:pPr>
        <w:pStyle w:val="ListParagraph"/>
        <w:numPr>
          <w:ilvl w:val="0"/>
          <w:numId w:val="5"/>
        </w:numPr>
        <w:jc w:val="left"/>
        <w:rPr>
          <w:b/>
          <w:sz w:val="24"/>
          <w:szCs w:val="24"/>
        </w:rPr>
      </w:pPr>
      <w:r w:rsidRPr="00B648E9">
        <w:rPr>
          <w:b/>
          <w:bCs/>
          <w:color w:val="000000"/>
          <w:sz w:val="24"/>
          <w:szCs w:val="24"/>
        </w:rPr>
        <w:t xml:space="preserve">Centers for Medicaid and Medicare Services (CMS) Emergency Preparedness Rule </w:t>
      </w:r>
    </w:p>
    <w:p w14:paraId="66E7EC9A" w14:textId="487740CE" w:rsidR="00B648E9" w:rsidRDefault="00B648E9" w:rsidP="00B648E9">
      <w:pPr>
        <w:pStyle w:val="ListParagraph"/>
        <w:numPr>
          <w:ilvl w:val="0"/>
          <w:numId w:val="0"/>
        </w:numPr>
        <w:ind w:left="720"/>
        <w:jc w:val="left"/>
        <w:rPr>
          <w:color w:val="000000"/>
          <w:sz w:val="24"/>
          <w:szCs w:val="24"/>
        </w:rPr>
      </w:pPr>
      <w:r w:rsidRPr="00B648E9">
        <w:rPr>
          <w:color w:val="000000"/>
          <w:sz w:val="24"/>
          <w:szCs w:val="24"/>
        </w:rPr>
        <w:t>The Centers for Medicare and Medicaid Emergency Preparedness Rule establishes national emergency preparedness requirements to ensure adequate planning for both natural and man-made disasters, and coordination with federal, state, tribal, regional</w:t>
      </w:r>
      <w:r w:rsidR="003B3019">
        <w:rPr>
          <w:color w:val="000000"/>
          <w:sz w:val="24"/>
          <w:szCs w:val="24"/>
        </w:rPr>
        <w:t>,</w:t>
      </w:r>
      <w:r w:rsidRPr="00B648E9">
        <w:rPr>
          <w:color w:val="000000"/>
          <w:sz w:val="24"/>
          <w:szCs w:val="24"/>
        </w:rPr>
        <w:t xml:space="preserve"> and local emergency preparedness systems. The Rule requires a minimum level of disaster preparedness activities for 17 different CMS recipient health care facility types. </w:t>
      </w:r>
    </w:p>
    <w:p w14:paraId="1258CCF4" w14:textId="17E92973" w:rsidR="00B648E9" w:rsidRPr="00B648E9" w:rsidRDefault="00B648E9" w:rsidP="00B648E9">
      <w:pPr>
        <w:pStyle w:val="ListParagraph"/>
        <w:numPr>
          <w:ilvl w:val="0"/>
          <w:numId w:val="5"/>
        </w:numPr>
        <w:jc w:val="left"/>
        <w:rPr>
          <w:b/>
          <w:sz w:val="24"/>
          <w:szCs w:val="24"/>
        </w:rPr>
      </w:pPr>
      <w:r w:rsidRPr="00B648E9">
        <w:rPr>
          <w:b/>
          <w:bCs/>
          <w:color w:val="000000"/>
          <w:sz w:val="24"/>
          <w:szCs w:val="24"/>
        </w:rPr>
        <w:t xml:space="preserve">Accrediting Organizations </w:t>
      </w:r>
    </w:p>
    <w:p w14:paraId="488269C4" w14:textId="77777777" w:rsidR="00B648E9" w:rsidRDefault="00B648E9" w:rsidP="00B648E9">
      <w:pPr>
        <w:pStyle w:val="CM13"/>
        <w:spacing w:after="92" w:line="318" w:lineRule="atLeast"/>
        <w:ind w:left="720"/>
        <w:rPr>
          <w:color w:val="000000"/>
        </w:rPr>
      </w:pPr>
      <w:r w:rsidRPr="00B648E9">
        <w:rPr>
          <w:color w:val="000000"/>
        </w:rPr>
        <w:t xml:space="preserve">Several organizations provide accreditation and certification to thousands of health care organizations. To achieve certification, a health care organization must adhere to recommended standards, some of which relate to emergency and disaster preparedness. Emergency preparedness standards touch on certain critical </w:t>
      </w:r>
      <w:proofErr w:type="gramStart"/>
      <w:r w:rsidRPr="00B648E9">
        <w:rPr>
          <w:color w:val="000000"/>
        </w:rPr>
        <w:t>areas, and</w:t>
      </w:r>
      <w:proofErr w:type="gramEnd"/>
      <w:r w:rsidRPr="00B648E9">
        <w:rPr>
          <w:color w:val="000000"/>
        </w:rPr>
        <w:t xml:space="preserve"> require that organizations have and test an Emergency Operations Plan on an annual basis. </w:t>
      </w:r>
    </w:p>
    <w:p w14:paraId="78BED569" w14:textId="601609CA" w:rsidR="00B648E9" w:rsidRPr="00B648E9" w:rsidRDefault="00B648E9" w:rsidP="00B648E9">
      <w:pPr>
        <w:pStyle w:val="CM13"/>
        <w:numPr>
          <w:ilvl w:val="0"/>
          <w:numId w:val="5"/>
        </w:numPr>
        <w:spacing w:after="92" w:line="318" w:lineRule="atLeast"/>
        <w:rPr>
          <w:color w:val="000000"/>
        </w:rPr>
      </w:pPr>
      <w:r w:rsidRPr="00B648E9">
        <w:rPr>
          <w:b/>
          <w:bCs/>
          <w:color w:val="000000"/>
        </w:rPr>
        <w:t xml:space="preserve">Cities Readiness Initiative (CRI) </w:t>
      </w:r>
    </w:p>
    <w:p w14:paraId="039E7ECF" w14:textId="77777777" w:rsidR="00B648E9" w:rsidRDefault="00B648E9" w:rsidP="00B648E9">
      <w:pPr>
        <w:pStyle w:val="CM13"/>
        <w:spacing w:after="92" w:line="318" w:lineRule="atLeast"/>
        <w:ind w:left="720"/>
        <w:rPr>
          <w:color w:val="000000"/>
        </w:rPr>
      </w:pPr>
      <w:r w:rsidRPr="00B648E9">
        <w:rPr>
          <w:color w:val="000000"/>
        </w:rPr>
        <w:t xml:space="preserve">CRI is a federal program within PHEP that provides funding to 72 Metropolitan Statistical Areas (MSA) to aid in developing efficient and accurate distribution and dispensing of medical countermeasures (MCM) from the Strategic National Stockpile (SNS) following a public health emergency. Recipients must exercise a bioterror event that would be able to test the transportation, distribution, and receipt of MCM at least once during the funding’s five-year cycle. </w:t>
      </w:r>
    </w:p>
    <w:p w14:paraId="681CFE94" w14:textId="77777777" w:rsidR="00B648E9" w:rsidRPr="00B648E9" w:rsidRDefault="00B648E9" w:rsidP="00B648E9">
      <w:pPr>
        <w:pStyle w:val="CM13"/>
        <w:numPr>
          <w:ilvl w:val="0"/>
          <w:numId w:val="5"/>
        </w:numPr>
        <w:spacing w:after="92" w:line="318" w:lineRule="atLeast"/>
        <w:rPr>
          <w:color w:val="000000"/>
        </w:rPr>
      </w:pPr>
      <w:r>
        <w:rPr>
          <w:b/>
          <w:bCs/>
          <w:color w:val="000000"/>
          <w:sz w:val="23"/>
          <w:szCs w:val="23"/>
        </w:rPr>
        <w:t xml:space="preserve">Homeland Security Grant Program </w:t>
      </w:r>
    </w:p>
    <w:p w14:paraId="405312DE" w14:textId="31A37DC7" w:rsidR="00D34434" w:rsidRPr="00B648E9" w:rsidRDefault="00B648E9" w:rsidP="00B648E9">
      <w:pPr>
        <w:pStyle w:val="CM13"/>
        <w:spacing w:after="92" w:line="318" w:lineRule="atLeast"/>
        <w:ind w:left="720"/>
        <w:rPr>
          <w:color w:val="000000"/>
        </w:rPr>
      </w:pPr>
      <w:r w:rsidRPr="00B648E9">
        <w:rPr>
          <w:color w:val="000000"/>
        </w:rPr>
        <w:lastRenderedPageBreak/>
        <w:t>Administered by the Department of Homeland Security within FEMA, the Homeland Security Grant Program provides hundreds of millions of dollars every year towards state, tribal, and local preparedness. Funds are received by a State Administrative Agency (SAA) and filtered down. Funds address the ability to mitigate, prepare for, respond to, and recover from acts of terrorism in high-threat, high-density urban areas. Funds are provided on an annual basis.</w:t>
      </w:r>
    </w:p>
    <w:p w14:paraId="091FBBD1" w14:textId="525AA520" w:rsidR="00B648E9" w:rsidRDefault="00B648E9" w:rsidP="00B648E9">
      <w:pPr>
        <w:jc w:val="left"/>
        <w:rPr>
          <w:rFonts w:cs="Arial"/>
          <w:sz w:val="24"/>
          <w:szCs w:val="24"/>
        </w:rPr>
      </w:pPr>
    </w:p>
    <w:p w14:paraId="7A7D9C01" w14:textId="08DE3D84" w:rsidR="00B648E9" w:rsidRPr="00C80D11" w:rsidRDefault="00B648E9" w:rsidP="00B648E9">
      <w:pPr>
        <w:jc w:val="left"/>
        <w:rPr>
          <w:rFonts w:cs="Arial"/>
          <w:sz w:val="24"/>
          <w:szCs w:val="24"/>
        </w:rPr>
      </w:pPr>
      <w:r>
        <w:rPr>
          <w:b/>
          <w:bCs/>
          <w:color w:val="000000"/>
          <w:sz w:val="23"/>
          <w:szCs w:val="23"/>
        </w:rPr>
        <w:t xml:space="preserve">While this document may be helpful in planning for grant and accreditation requirements, it is not meant to directly fulfill PHEP or HPP requirements and serves only as a model. The document allows planners to view a schedule of future SWMHE Programs </w:t>
      </w:r>
      <w:proofErr w:type="gramStart"/>
      <w:r>
        <w:rPr>
          <w:b/>
          <w:bCs/>
          <w:color w:val="000000"/>
          <w:sz w:val="23"/>
          <w:szCs w:val="23"/>
        </w:rPr>
        <w:t>in order to</w:t>
      </w:r>
      <w:proofErr w:type="gramEnd"/>
      <w:r>
        <w:rPr>
          <w:b/>
          <w:bCs/>
          <w:color w:val="000000"/>
          <w:sz w:val="23"/>
          <w:szCs w:val="23"/>
        </w:rPr>
        <w:t xml:space="preserve"> better forecast and build their own Multi-Year </w:t>
      </w:r>
      <w:r w:rsidR="009731BF">
        <w:rPr>
          <w:b/>
          <w:bCs/>
          <w:color w:val="000000"/>
          <w:sz w:val="23"/>
          <w:szCs w:val="23"/>
        </w:rPr>
        <w:t>Integrated Preparedness Plan (IPP, formerly MYTEP)</w:t>
      </w:r>
      <w:r>
        <w:rPr>
          <w:b/>
          <w:bCs/>
          <w:color w:val="000000"/>
          <w:sz w:val="23"/>
          <w:szCs w:val="23"/>
        </w:rPr>
        <w:t xml:space="preserve">. The format has been modified from that of a more traditional </w:t>
      </w:r>
      <w:r w:rsidR="009731BF">
        <w:rPr>
          <w:b/>
          <w:bCs/>
          <w:color w:val="000000"/>
          <w:sz w:val="23"/>
          <w:szCs w:val="23"/>
        </w:rPr>
        <w:t>IPP</w:t>
      </w:r>
      <w:r>
        <w:rPr>
          <w:b/>
          <w:bCs/>
          <w:color w:val="000000"/>
          <w:sz w:val="23"/>
          <w:szCs w:val="23"/>
        </w:rPr>
        <w:t xml:space="preserve"> </w:t>
      </w:r>
      <w:proofErr w:type="gramStart"/>
      <w:r>
        <w:rPr>
          <w:b/>
          <w:bCs/>
          <w:color w:val="000000"/>
          <w:sz w:val="23"/>
          <w:szCs w:val="23"/>
        </w:rPr>
        <w:t>in order to</w:t>
      </w:r>
      <w:proofErr w:type="gramEnd"/>
      <w:r>
        <w:rPr>
          <w:b/>
          <w:bCs/>
          <w:color w:val="000000"/>
          <w:sz w:val="23"/>
          <w:szCs w:val="23"/>
        </w:rPr>
        <w:t xml:space="preserve"> accommodate the broader State perspective and with the intent of creating exercises that are inclusive of all participants in the State of California. The following resource may be useful for planners in creating their own </w:t>
      </w:r>
      <w:r w:rsidR="009731BF">
        <w:rPr>
          <w:b/>
          <w:bCs/>
          <w:color w:val="000000"/>
          <w:sz w:val="23"/>
          <w:szCs w:val="23"/>
        </w:rPr>
        <w:t>IPP</w:t>
      </w:r>
      <w:r>
        <w:rPr>
          <w:b/>
          <w:bCs/>
          <w:color w:val="000000"/>
          <w:sz w:val="23"/>
          <w:szCs w:val="23"/>
        </w:rPr>
        <w:t xml:space="preserve">: </w:t>
      </w:r>
      <w:hyperlink r:id="rId9" w:history="1">
        <w:r w:rsidR="009731BF" w:rsidRPr="009731BF">
          <w:rPr>
            <w:rStyle w:val="Hyperlink"/>
            <w:b/>
            <w:bCs/>
            <w:sz w:val="23"/>
            <w:szCs w:val="23"/>
          </w:rPr>
          <w:t>https://preptoolkit.fema.gov/web/hseep-resources</w:t>
        </w:r>
      </w:hyperlink>
    </w:p>
    <w:p w14:paraId="5E145F6D" w14:textId="77777777" w:rsidR="00B648E9" w:rsidRDefault="00B648E9">
      <w:pPr>
        <w:spacing w:line="240" w:lineRule="auto"/>
        <w:jc w:val="left"/>
        <w:rPr>
          <w:rFonts w:eastAsia="Times New Roman"/>
          <w:color w:val="002060"/>
          <w:sz w:val="44"/>
          <w:szCs w:val="36"/>
        </w:rPr>
      </w:pPr>
      <w:bookmarkStart w:id="14" w:name="_Toc320196902"/>
      <w:bookmarkStart w:id="15" w:name="_Toc456621536"/>
      <w:r>
        <w:br w:type="page"/>
      </w:r>
    </w:p>
    <w:p w14:paraId="00FCB0F1" w14:textId="0D2EF908" w:rsidR="00B709B2" w:rsidRPr="00593AF3" w:rsidRDefault="00B709B2" w:rsidP="001A3685">
      <w:pPr>
        <w:pStyle w:val="Heading1"/>
      </w:pPr>
      <w:bookmarkStart w:id="16" w:name="_Toc122099509"/>
      <w:r w:rsidRPr="00593AF3">
        <w:lastRenderedPageBreak/>
        <w:t>T</w:t>
      </w:r>
      <w:bookmarkEnd w:id="14"/>
      <w:bookmarkEnd w:id="15"/>
      <w:r w:rsidR="00C80D11">
        <w:t>raining</w:t>
      </w:r>
      <w:bookmarkEnd w:id="16"/>
      <w:r w:rsidR="00C80D11">
        <w:t xml:space="preserve"> </w:t>
      </w:r>
      <w:r w:rsidR="00792D4C">
        <w:t xml:space="preserve"> </w:t>
      </w:r>
    </w:p>
    <w:p w14:paraId="1AE230E3" w14:textId="729D65D3" w:rsidR="005F3454" w:rsidRPr="00E10A25" w:rsidRDefault="00B709B2" w:rsidP="00C80D11">
      <w:pPr>
        <w:spacing w:after="200"/>
        <w:jc w:val="left"/>
        <w:rPr>
          <w:sz w:val="24"/>
          <w:szCs w:val="24"/>
        </w:rPr>
      </w:pPr>
      <w:r w:rsidRPr="00E10A25">
        <w:rPr>
          <w:sz w:val="24"/>
          <w:szCs w:val="24"/>
        </w:rPr>
        <w:t xml:space="preserve">CDPH and EMSA offer multiple training opportunities and resources that can be found on </w:t>
      </w:r>
      <w:hyperlink r:id="rId10" w:history="1">
        <w:r w:rsidR="001C727E" w:rsidRPr="00E10A25">
          <w:rPr>
            <w:rStyle w:val="Hyperlink"/>
            <w:sz w:val="24"/>
            <w:szCs w:val="24"/>
          </w:rPr>
          <w:t>https://www.cdph.ca.gov/Programs/EPO/Pages/swmhe_training.aspx</w:t>
        </w:r>
      </w:hyperlink>
      <w:r w:rsidR="001C727E" w:rsidRPr="00E10A25">
        <w:rPr>
          <w:sz w:val="24"/>
          <w:szCs w:val="24"/>
        </w:rPr>
        <w:t xml:space="preserve"> </w:t>
      </w:r>
      <w:r w:rsidR="00B648E9" w:rsidRPr="00E10A25">
        <w:rPr>
          <w:sz w:val="24"/>
          <w:szCs w:val="24"/>
        </w:rPr>
        <w:t xml:space="preserve">or </w:t>
      </w:r>
      <w:r w:rsidR="00B648E9" w:rsidRPr="00E10A25">
        <w:rPr>
          <w:color w:val="0000FF"/>
          <w:sz w:val="24"/>
          <w:szCs w:val="24"/>
          <w:u w:val="single"/>
        </w:rPr>
        <w:t>https://emsa.ca.gov/disaster-training/</w:t>
      </w:r>
      <w:r w:rsidR="00B648E9" w:rsidRPr="00E10A25">
        <w:rPr>
          <w:color w:val="000000"/>
          <w:sz w:val="24"/>
          <w:szCs w:val="24"/>
        </w:rPr>
        <w:t xml:space="preserve">. </w:t>
      </w:r>
      <w:r w:rsidR="00FA291D" w:rsidRPr="00E10A25">
        <w:rPr>
          <w:sz w:val="24"/>
          <w:szCs w:val="24"/>
        </w:rPr>
        <w:t>Please visit the</w:t>
      </w:r>
      <w:r w:rsidR="00E10A25" w:rsidRPr="00E10A25">
        <w:rPr>
          <w:sz w:val="24"/>
          <w:szCs w:val="24"/>
        </w:rPr>
        <w:t>se</w:t>
      </w:r>
      <w:r w:rsidR="00FA291D" w:rsidRPr="00E10A25">
        <w:rPr>
          <w:sz w:val="24"/>
          <w:szCs w:val="24"/>
        </w:rPr>
        <w:t xml:space="preserve"> site</w:t>
      </w:r>
      <w:r w:rsidR="00E10A25" w:rsidRPr="00E10A25">
        <w:rPr>
          <w:sz w:val="24"/>
          <w:szCs w:val="24"/>
        </w:rPr>
        <w:t>s</w:t>
      </w:r>
      <w:r w:rsidR="00FA291D" w:rsidRPr="00E10A25">
        <w:rPr>
          <w:sz w:val="24"/>
          <w:szCs w:val="24"/>
        </w:rPr>
        <w:t xml:space="preserve"> to view the trainings and find </w:t>
      </w:r>
      <w:r w:rsidR="00E10A25" w:rsidRPr="00E10A25">
        <w:rPr>
          <w:sz w:val="24"/>
          <w:szCs w:val="24"/>
        </w:rPr>
        <w:t>r</w:t>
      </w:r>
      <w:r w:rsidR="00FA291D" w:rsidRPr="00E10A25">
        <w:rPr>
          <w:sz w:val="24"/>
          <w:szCs w:val="24"/>
        </w:rPr>
        <w:t>elevant information.</w:t>
      </w:r>
    </w:p>
    <w:p w14:paraId="18021483" w14:textId="44695F19" w:rsidR="00E10A25" w:rsidRPr="00E10A25" w:rsidRDefault="00E10A25" w:rsidP="00E10A25">
      <w:pPr>
        <w:jc w:val="left"/>
        <w:rPr>
          <w:color w:val="000000"/>
          <w:sz w:val="24"/>
          <w:szCs w:val="24"/>
        </w:rPr>
      </w:pPr>
      <w:r w:rsidRPr="00E10A25">
        <w:rPr>
          <w:color w:val="000000"/>
          <w:sz w:val="24"/>
          <w:szCs w:val="24"/>
        </w:rPr>
        <w:t xml:space="preserve">Planners should identify the training necessary to prepare themselves and their organizations for the recommended capabilities and objectives tested in the SWMHE each year. Planners should identify training that covers gaps revealed as part of the </w:t>
      </w:r>
      <w:proofErr w:type="gramStart"/>
      <w:r w:rsidRPr="00E10A25">
        <w:rPr>
          <w:color w:val="000000"/>
          <w:sz w:val="24"/>
          <w:szCs w:val="24"/>
        </w:rPr>
        <w:t>After Action</w:t>
      </w:r>
      <w:proofErr w:type="gramEnd"/>
      <w:r w:rsidRPr="00E10A25">
        <w:rPr>
          <w:color w:val="000000"/>
          <w:sz w:val="24"/>
          <w:szCs w:val="24"/>
        </w:rPr>
        <w:t xml:space="preserve"> Report/Improvement Plan process, and update their training schedule at least annually to reflect the accomplishments and progress of their organization.</w:t>
      </w:r>
    </w:p>
    <w:p w14:paraId="19722B0F" w14:textId="77777777" w:rsidR="00E10A25" w:rsidRDefault="00E10A25">
      <w:pPr>
        <w:spacing w:line="240" w:lineRule="auto"/>
        <w:jc w:val="left"/>
        <w:rPr>
          <w:color w:val="000000"/>
          <w:sz w:val="23"/>
          <w:szCs w:val="23"/>
        </w:rPr>
      </w:pPr>
      <w:r>
        <w:rPr>
          <w:color w:val="000000"/>
          <w:sz w:val="23"/>
          <w:szCs w:val="23"/>
        </w:rPr>
        <w:br w:type="page"/>
      </w:r>
    </w:p>
    <w:p w14:paraId="318B347D" w14:textId="77777777" w:rsidR="00D34434" w:rsidRDefault="00D34434" w:rsidP="00D34434">
      <w:pPr>
        <w:jc w:val="center"/>
      </w:pPr>
    </w:p>
    <w:p w14:paraId="101BAFB8" w14:textId="72C195DB" w:rsidR="00D34434" w:rsidRPr="00593AF3" w:rsidRDefault="00D34434" w:rsidP="00D34434">
      <w:pPr>
        <w:pStyle w:val="Heading1"/>
      </w:pPr>
      <w:bookmarkStart w:id="17" w:name="_Toc320196904"/>
      <w:bookmarkStart w:id="18" w:name="_Toc456621538"/>
      <w:bookmarkStart w:id="19" w:name="_Toc122099510"/>
      <w:r w:rsidRPr="00593AF3">
        <w:t>R</w:t>
      </w:r>
      <w:r w:rsidR="00C80D11">
        <w:t>ecommended Exercise Schedule</w:t>
      </w:r>
      <w:bookmarkEnd w:id="17"/>
      <w:bookmarkEnd w:id="18"/>
      <w:bookmarkEnd w:id="19"/>
    </w:p>
    <w:p w14:paraId="7FEBBA96" w14:textId="269B91AF" w:rsidR="00E10A25" w:rsidRDefault="00E10A25" w:rsidP="009731BF">
      <w:pPr>
        <w:pStyle w:val="CM6"/>
        <w:spacing w:line="276" w:lineRule="auto"/>
        <w:rPr>
          <w:color w:val="000000"/>
        </w:rPr>
      </w:pPr>
      <w:r w:rsidRPr="00E10A25">
        <w:rPr>
          <w:color w:val="000000"/>
        </w:rPr>
        <w:t>The following proposed schedule aims to ensure that every PHEP</w:t>
      </w:r>
      <w:r w:rsidR="009731BF">
        <w:rPr>
          <w:color w:val="000000"/>
        </w:rPr>
        <w:t xml:space="preserve">, </w:t>
      </w:r>
      <w:r w:rsidRPr="00E10A25">
        <w:rPr>
          <w:color w:val="000000"/>
        </w:rPr>
        <w:t>HPP</w:t>
      </w:r>
      <w:r w:rsidR="009731BF">
        <w:rPr>
          <w:color w:val="000000"/>
        </w:rPr>
        <w:t>, MRSE</w:t>
      </w:r>
      <w:r w:rsidRPr="00E10A25">
        <w:rPr>
          <w:color w:val="000000"/>
        </w:rPr>
        <w:t xml:space="preserve"> capability is exercised within timeframes required by the grants and programs mentioned previously. Each year, the SWMHE Workgroup develops and finalizes a scenario which focuses on capabilities to be addressed in that year’s exercise and training activities. Planners will note that this document does not follow the same format as a full M</w:t>
      </w:r>
      <w:r>
        <w:rPr>
          <w:color w:val="000000"/>
        </w:rPr>
        <w:t>ulti-Year Integrated Preparedness Plan (IPP, formerly MYTEP)</w:t>
      </w:r>
      <w:r w:rsidRPr="00E10A25">
        <w:rPr>
          <w:color w:val="000000"/>
        </w:rPr>
        <w:t xml:space="preserve">, rather it lays out a capability-based five-year schedule. Planners can use this information as a foundation for their own </w:t>
      </w:r>
      <w:r>
        <w:rPr>
          <w:color w:val="000000"/>
        </w:rPr>
        <w:t>IPP</w:t>
      </w:r>
      <w:r w:rsidRPr="00E10A25">
        <w:rPr>
          <w:color w:val="000000"/>
        </w:rPr>
        <w:t xml:space="preserve">. </w:t>
      </w:r>
    </w:p>
    <w:p w14:paraId="3930BDB7" w14:textId="77777777" w:rsidR="009731BF" w:rsidRPr="009731BF" w:rsidRDefault="009731BF" w:rsidP="009731BF">
      <w:pPr>
        <w:pStyle w:val="Default"/>
      </w:pPr>
    </w:p>
    <w:p w14:paraId="116214CA" w14:textId="1B070ADE" w:rsidR="00E10A25" w:rsidRPr="00E10A25" w:rsidRDefault="00E10A25" w:rsidP="00E10A25">
      <w:pPr>
        <w:pStyle w:val="CM11"/>
        <w:spacing w:after="320" w:line="276" w:lineRule="auto"/>
        <w:rPr>
          <w:color w:val="000000"/>
        </w:rPr>
      </w:pPr>
      <w:r w:rsidRPr="00E10A25">
        <w:rPr>
          <w:color w:val="000000"/>
        </w:rPr>
        <w:t xml:space="preserve">The “Regional Focus” column in the schedule reflects CDPH and EMSA’s desire to </w:t>
      </w:r>
      <w:proofErr w:type="gramStart"/>
      <w:r w:rsidRPr="00E10A25">
        <w:rPr>
          <w:color w:val="000000"/>
        </w:rPr>
        <w:t>more closely simulate a real event occurring</w:t>
      </w:r>
      <w:proofErr w:type="gramEnd"/>
      <w:r w:rsidRPr="00E10A25">
        <w:rPr>
          <w:color w:val="000000"/>
        </w:rPr>
        <w:t xml:space="preserve"> in one or more Mutual Aid Region of the state and allows for more intense and realistic exercise play between CDPH, EMSA and the designated region</w:t>
      </w:r>
      <w:r w:rsidR="009B0B79">
        <w:rPr>
          <w:color w:val="000000"/>
        </w:rPr>
        <w:t>(s)</w:t>
      </w:r>
      <w:r w:rsidRPr="00E10A25">
        <w:rPr>
          <w:color w:val="000000"/>
        </w:rPr>
        <w:t xml:space="preserve">. All regions are still provided with the materials and direction to assist in development of a successful exercise, but the Medical and Health Coordination Center (MHCC) will play directly to the objectives and scenario of the Mutual Aid Region(s) identified under the “Regional Focus” during the SWMHE. This approach started in 2014 with the Region II Bay Area Mass Prophylaxis Working Group Anthrax Exercise and continued with the 2015 Region I and VI aerosolized anthrax bioterrorism exercise. </w:t>
      </w:r>
    </w:p>
    <w:p w14:paraId="71DB8019" w14:textId="2246A344" w:rsidR="00E10A25" w:rsidRDefault="00E10A25" w:rsidP="00E10A25">
      <w:pPr>
        <w:pStyle w:val="CM12"/>
        <w:spacing w:after="232" w:line="276" w:lineRule="auto"/>
        <w:rPr>
          <w:color w:val="000000"/>
        </w:rPr>
      </w:pPr>
      <w:r w:rsidRPr="00E10A25">
        <w:rPr>
          <w:color w:val="000000"/>
        </w:rPr>
        <w:t xml:space="preserve">Feedback from SWMHE participants and local planners suggests that advanced knowledge of SWMHE capabilities and their associated scenarios for coming years would be of great assistance in planning exercises that align with CDPH play. In response, the </w:t>
      </w:r>
      <w:r>
        <w:rPr>
          <w:color w:val="000000"/>
        </w:rPr>
        <w:t>IPP</w:t>
      </w:r>
      <w:r w:rsidRPr="00E10A25">
        <w:rPr>
          <w:color w:val="000000"/>
        </w:rPr>
        <w:t xml:space="preserve"> contains PHEP</w:t>
      </w:r>
      <w:r w:rsidR="009B0B79">
        <w:rPr>
          <w:color w:val="000000"/>
        </w:rPr>
        <w:t xml:space="preserve">, </w:t>
      </w:r>
      <w:r w:rsidRPr="00E10A25">
        <w:rPr>
          <w:color w:val="000000"/>
        </w:rPr>
        <w:t>HPP</w:t>
      </w:r>
      <w:r w:rsidR="009B0B79">
        <w:rPr>
          <w:color w:val="000000"/>
        </w:rPr>
        <w:t>, and MRSE</w:t>
      </w:r>
      <w:r w:rsidRPr="00E10A25">
        <w:rPr>
          <w:color w:val="000000"/>
        </w:rPr>
        <w:t xml:space="preserve"> capabilities that will be targeted each year and suggested scenarios built from them. Caveats to these scenarios are: </w:t>
      </w:r>
    </w:p>
    <w:p w14:paraId="61ECFE03" w14:textId="43EBF005" w:rsidR="00E10A25" w:rsidRPr="00E10A25" w:rsidRDefault="00E10A25" w:rsidP="00E10A25">
      <w:pPr>
        <w:pStyle w:val="CM12"/>
        <w:numPr>
          <w:ilvl w:val="0"/>
          <w:numId w:val="5"/>
        </w:numPr>
        <w:spacing w:after="232" w:line="276" w:lineRule="auto"/>
        <w:rPr>
          <w:color w:val="000000"/>
        </w:rPr>
      </w:pPr>
      <w:r w:rsidRPr="00E10A25">
        <w:t>Real events (e.g., emerging public health emergencies and other disasters) can be disruptive to planned exercise capabilities, objectives, and scenarios. For example, CDPH and EMSA staff planned to fully support Mutual Aid Region II’s Aerosolized Anthrax exercise in 2014, but a</w:t>
      </w:r>
      <w:r w:rsidR="009B0B79">
        <w:t xml:space="preserve"> </w:t>
      </w:r>
      <w:r w:rsidRPr="00E10A25">
        <w:t xml:space="preserve">“real-world” activation for the 2014 Ebola outbreak precluded involvement of the MHCC and many CDPH Emergency Preparedness Office staff in the exercise. While CDPH and EMSA will make every effort to play to SWMHE capabilities and scenarios within this </w:t>
      </w:r>
      <w:r w:rsidR="009B0B79">
        <w:t>IPP</w:t>
      </w:r>
      <w:r w:rsidRPr="00E10A25">
        <w:t xml:space="preserve">, they will remain flexible if health care organizations must respond to a real-world event or other specific objective. </w:t>
      </w:r>
    </w:p>
    <w:p w14:paraId="6830CB04" w14:textId="0E1EEF2F" w:rsidR="00E10A25" w:rsidRPr="00E10A25" w:rsidRDefault="00E10A25" w:rsidP="00E10A25">
      <w:pPr>
        <w:pStyle w:val="CM12"/>
        <w:numPr>
          <w:ilvl w:val="0"/>
          <w:numId w:val="5"/>
        </w:numPr>
        <w:spacing w:after="232" w:line="276" w:lineRule="auto"/>
        <w:rPr>
          <w:color w:val="000000"/>
        </w:rPr>
      </w:pPr>
      <w:r w:rsidRPr="00E10A25">
        <w:lastRenderedPageBreak/>
        <w:t>Suggested scenarios have been provided only after PHEP</w:t>
      </w:r>
      <w:r w:rsidR="009B0B79">
        <w:t xml:space="preserve">, </w:t>
      </w:r>
      <w:r w:rsidRPr="00E10A25">
        <w:t>HPP</w:t>
      </w:r>
      <w:r w:rsidR="009B0B79">
        <w:t>, and MRSE</w:t>
      </w:r>
      <w:r w:rsidRPr="00E10A25">
        <w:t xml:space="preserve"> capabilities were set. For example, the SWMHE EPW did not initially develop a Mass Casualty Incident scenario for 2016. Rather, the EPW considered PHEP</w:t>
      </w:r>
      <w:r w:rsidR="009B0B79">
        <w:t>/</w:t>
      </w:r>
      <w:r w:rsidRPr="00E10A25">
        <w:t xml:space="preserve">HPP capabilities first, then developed a scenario that would suitably exercise those capabilities. This process is consistent with HSEEP best practices. The SWMHE Workgroup also tried to create a scenario that would test factors from the “Other Considerations” column of the </w:t>
      </w:r>
      <w:r w:rsidR="009B0B79">
        <w:t>IP</w:t>
      </w:r>
      <w:r w:rsidRPr="00E10A25">
        <w:t>P</w:t>
      </w:r>
      <w:r w:rsidR="009B0B79">
        <w:t xml:space="preserve"> (formerly MYTEP)</w:t>
      </w:r>
      <w:r w:rsidRPr="00E10A25">
        <w:t xml:space="preserve"> (see the following page).</w:t>
      </w:r>
    </w:p>
    <w:p w14:paraId="651AFC4C" w14:textId="77777777" w:rsidR="00FA06A9" w:rsidRDefault="00FA06A9" w:rsidP="00D34434">
      <w:pPr>
        <w:widowControl w:val="0"/>
        <w:autoSpaceDE w:val="0"/>
        <w:autoSpaceDN w:val="0"/>
        <w:adjustRightInd w:val="0"/>
        <w:contextualSpacing/>
        <w:rPr>
          <w:rFonts w:cs="Arial"/>
          <w:szCs w:val="20"/>
        </w:rPr>
      </w:pPr>
    </w:p>
    <w:p w14:paraId="1C4536BF" w14:textId="77777777" w:rsidR="00AB3BD2" w:rsidRDefault="00AB3BD2" w:rsidP="00D34434">
      <w:pPr>
        <w:widowControl w:val="0"/>
        <w:autoSpaceDE w:val="0"/>
        <w:autoSpaceDN w:val="0"/>
        <w:adjustRightInd w:val="0"/>
        <w:contextualSpacing/>
        <w:rPr>
          <w:rFonts w:cs="Arial"/>
          <w:szCs w:val="20"/>
        </w:rPr>
        <w:sectPr w:rsidR="00AB3BD2" w:rsidSect="001342CF">
          <w:headerReference w:type="default" r:id="rId11"/>
          <w:footerReference w:type="default" r:id="rId12"/>
          <w:headerReference w:type="first" r:id="rId13"/>
          <w:pgSz w:w="12240" w:h="15840"/>
          <w:pgMar w:top="1440" w:right="1440" w:bottom="1440" w:left="1440" w:header="720" w:footer="720" w:gutter="0"/>
          <w:cols w:space="720"/>
          <w:titlePg/>
          <w:docGrid w:linePitch="360"/>
        </w:sectPr>
      </w:pPr>
    </w:p>
    <w:p w14:paraId="024FC7A6" w14:textId="4C8EB4E7" w:rsidR="00544A50" w:rsidRPr="002B1252" w:rsidRDefault="00D34434" w:rsidP="002B1252">
      <w:pPr>
        <w:pStyle w:val="Heading3"/>
      </w:pPr>
      <w:r w:rsidRPr="002B1252">
        <w:lastRenderedPageBreak/>
        <w:t xml:space="preserve">Table </w:t>
      </w:r>
      <w:r w:rsidR="00163C34">
        <w:t>1</w:t>
      </w:r>
      <w:r w:rsidRPr="002B1252">
        <w:t xml:space="preserve">: Proposed </w:t>
      </w:r>
      <w:r w:rsidR="00E10A25">
        <w:t>Multi-Year Preparedness Plan (</w:t>
      </w:r>
      <w:r w:rsidR="00D927CB">
        <w:t>IPP</w:t>
      </w:r>
      <w:r w:rsidR="00E10A25">
        <w:t>)</w:t>
      </w:r>
      <w:r w:rsidRPr="002B1252">
        <w:t xml:space="preserve"> Schedule</w:t>
      </w:r>
    </w:p>
    <w:tbl>
      <w:tblPr>
        <w:tblStyle w:val="TableGrid"/>
        <w:tblW w:w="14040" w:type="dxa"/>
        <w:tblInd w:w="-522" w:type="dxa"/>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ayout w:type="fixed"/>
        <w:tblLook w:val="04A0" w:firstRow="1" w:lastRow="0" w:firstColumn="1" w:lastColumn="0" w:noHBand="0" w:noVBand="1"/>
        <w:tblCaption w:val="Proposed Multi-Year Preparedness Plan Schedule"/>
        <w:tblDescription w:val="multi-year training and exercise schedule"/>
      </w:tblPr>
      <w:tblGrid>
        <w:gridCol w:w="1080"/>
        <w:gridCol w:w="2340"/>
        <w:gridCol w:w="1620"/>
        <w:gridCol w:w="1440"/>
        <w:gridCol w:w="2250"/>
        <w:gridCol w:w="1800"/>
        <w:gridCol w:w="2250"/>
        <w:gridCol w:w="1260"/>
      </w:tblGrid>
      <w:tr w:rsidR="0080072F" w:rsidRPr="00AB3BD2" w14:paraId="03F463BD" w14:textId="77777777" w:rsidTr="0009612C">
        <w:trPr>
          <w:cantSplit/>
          <w:trHeight w:val="535"/>
          <w:tblHeader/>
        </w:trPr>
        <w:tc>
          <w:tcPr>
            <w:tcW w:w="1080" w:type="dxa"/>
            <w:tcBorders>
              <w:top w:val="single" w:sz="2" w:space="0" w:color="auto"/>
              <w:left w:val="single" w:sz="2" w:space="0" w:color="auto"/>
              <w:bottom w:val="single" w:sz="2" w:space="0" w:color="auto"/>
              <w:right w:val="single" w:sz="2" w:space="0" w:color="auto"/>
            </w:tcBorders>
            <w:shd w:val="clear" w:color="auto" w:fill="002060"/>
            <w:vAlign w:val="center"/>
          </w:tcPr>
          <w:p w14:paraId="5909E24E" w14:textId="77777777" w:rsidR="00BD6193" w:rsidRPr="009B0B79" w:rsidRDefault="00BD6193" w:rsidP="002B1252">
            <w:pPr>
              <w:keepNext/>
              <w:keepLines/>
              <w:spacing w:line="240" w:lineRule="auto"/>
              <w:jc w:val="left"/>
              <w:outlineLvl w:val="2"/>
              <w:rPr>
                <w:rFonts w:cs="Arial"/>
                <w:b/>
                <w:color w:val="FFFFFF" w:themeColor="background1"/>
                <w:szCs w:val="20"/>
              </w:rPr>
            </w:pPr>
            <w:bookmarkStart w:id="20" w:name="_Toc445580724"/>
            <w:bookmarkStart w:id="21" w:name="_Toc456621539"/>
            <w:r w:rsidRPr="009B0B79">
              <w:rPr>
                <w:rFonts w:cs="Arial"/>
                <w:b/>
                <w:color w:val="FFFFFF" w:themeColor="background1"/>
                <w:szCs w:val="20"/>
              </w:rPr>
              <w:t>Year</w:t>
            </w:r>
            <w:bookmarkEnd w:id="20"/>
            <w:bookmarkEnd w:id="21"/>
          </w:p>
        </w:tc>
        <w:tc>
          <w:tcPr>
            <w:tcW w:w="2340" w:type="dxa"/>
            <w:tcBorders>
              <w:top w:val="single" w:sz="2" w:space="0" w:color="auto"/>
              <w:left w:val="single" w:sz="2" w:space="0" w:color="auto"/>
              <w:bottom w:val="single" w:sz="2" w:space="0" w:color="auto"/>
              <w:right w:val="single" w:sz="2" w:space="0" w:color="auto"/>
            </w:tcBorders>
            <w:shd w:val="clear" w:color="auto" w:fill="002060"/>
            <w:vAlign w:val="center"/>
          </w:tcPr>
          <w:p w14:paraId="6B3BACCA" w14:textId="77777777" w:rsidR="00BD6193" w:rsidRPr="009B0B79" w:rsidRDefault="00BD6193" w:rsidP="002B1252">
            <w:pPr>
              <w:keepNext/>
              <w:keepLines/>
              <w:spacing w:line="240" w:lineRule="auto"/>
              <w:jc w:val="left"/>
              <w:outlineLvl w:val="2"/>
              <w:rPr>
                <w:rFonts w:cs="Arial"/>
                <w:b/>
                <w:color w:val="FFFFFF" w:themeColor="background1"/>
                <w:szCs w:val="20"/>
              </w:rPr>
            </w:pPr>
            <w:bookmarkStart w:id="22" w:name="_Toc445580725"/>
            <w:bookmarkStart w:id="23" w:name="_Toc456621540"/>
            <w:r w:rsidRPr="009B0B79">
              <w:rPr>
                <w:rFonts w:cs="Arial"/>
                <w:b/>
                <w:color w:val="FFFFFF" w:themeColor="background1"/>
                <w:szCs w:val="20"/>
              </w:rPr>
              <w:t>Proposed PHEP Capabilities</w:t>
            </w:r>
            <w:bookmarkEnd w:id="22"/>
            <w:bookmarkEnd w:id="23"/>
          </w:p>
        </w:tc>
        <w:tc>
          <w:tcPr>
            <w:tcW w:w="1620" w:type="dxa"/>
            <w:tcBorders>
              <w:top w:val="single" w:sz="2" w:space="0" w:color="auto"/>
              <w:left w:val="single" w:sz="2" w:space="0" w:color="auto"/>
              <w:bottom w:val="single" w:sz="2" w:space="0" w:color="auto"/>
              <w:right w:val="single" w:sz="2" w:space="0" w:color="auto"/>
            </w:tcBorders>
            <w:shd w:val="clear" w:color="auto" w:fill="002060"/>
            <w:vAlign w:val="center"/>
          </w:tcPr>
          <w:p w14:paraId="6B60B525" w14:textId="77777777" w:rsidR="00BD6193" w:rsidRPr="009B0B79" w:rsidRDefault="00BD6193" w:rsidP="002B1252">
            <w:pPr>
              <w:keepNext/>
              <w:keepLines/>
              <w:spacing w:line="240" w:lineRule="auto"/>
              <w:jc w:val="left"/>
              <w:outlineLvl w:val="2"/>
              <w:rPr>
                <w:rFonts w:cs="Arial"/>
                <w:b/>
                <w:color w:val="FFFFFF" w:themeColor="background1"/>
                <w:szCs w:val="20"/>
              </w:rPr>
            </w:pPr>
            <w:bookmarkStart w:id="24" w:name="_Toc445580726"/>
            <w:bookmarkStart w:id="25" w:name="_Toc456621541"/>
            <w:r w:rsidRPr="009B0B79">
              <w:rPr>
                <w:rFonts w:cs="Arial"/>
                <w:b/>
                <w:color w:val="FFFFFF" w:themeColor="background1"/>
                <w:szCs w:val="20"/>
              </w:rPr>
              <w:t>Proposed HPP Capabilities</w:t>
            </w:r>
            <w:bookmarkEnd w:id="24"/>
            <w:bookmarkEnd w:id="25"/>
          </w:p>
        </w:tc>
        <w:tc>
          <w:tcPr>
            <w:tcW w:w="1440" w:type="dxa"/>
            <w:tcBorders>
              <w:top w:val="single" w:sz="2" w:space="0" w:color="auto"/>
              <w:left w:val="single" w:sz="2" w:space="0" w:color="auto"/>
              <w:bottom w:val="single" w:sz="2" w:space="0" w:color="auto"/>
              <w:right w:val="single" w:sz="2" w:space="0" w:color="auto"/>
            </w:tcBorders>
            <w:shd w:val="clear" w:color="auto" w:fill="002060"/>
          </w:tcPr>
          <w:p w14:paraId="65F3AF26" w14:textId="02D063A2" w:rsidR="00BD6193" w:rsidRPr="009B0B79" w:rsidRDefault="002F3783" w:rsidP="002B1252">
            <w:pPr>
              <w:keepNext/>
              <w:keepLines/>
              <w:spacing w:line="240" w:lineRule="auto"/>
              <w:jc w:val="left"/>
              <w:outlineLvl w:val="2"/>
              <w:rPr>
                <w:rFonts w:cs="Arial"/>
                <w:b/>
                <w:color w:val="FFFFFF" w:themeColor="background1"/>
                <w:szCs w:val="20"/>
              </w:rPr>
            </w:pPr>
            <w:r>
              <w:rPr>
                <w:rFonts w:cs="Arial"/>
                <w:b/>
                <w:color w:val="FFFFFF" w:themeColor="background1"/>
                <w:szCs w:val="20"/>
              </w:rPr>
              <w:t>Medical Response and Surge Exercise (MRSE)</w:t>
            </w:r>
            <w:r w:rsidR="00BD6193" w:rsidRPr="009B0B79">
              <w:rPr>
                <w:rFonts w:cs="Arial"/>
                <w:b/>
                <w:color w:val="FFFFFF" w:themeColor="background1"/>
                <w:szCs w:val="20"/>
              </w:rPr>
              <w:t xml:space="preserve"> Topic</w:t>
            </w:r>
            <w:r w:rsidR="0080072F" w:rsidRPr="009B0B79">
              <w:rPr>
                <w:rStyle w:val="FootnoteReference"/>
                <w:rFonts w:cs="Arial"/>
                <w:b/>
                <w:color w:val="FFFFFF" w:themeColor="background1"/>
                <w:szCs w:val="20"/>
              </w:rPr>
              <w:footnoteReference w:id="2"/>
            </w:r>
          </w:p>
        </w:tc>
        <w:tc>
          <w:tcPr>
            <w:tcW w:w="2250" w:type="dxa"/>
            <w:tcBorders>
              <w:top w:val="single" w:sz="2" w:space="0" w:color="auto"/>
              <w:left w:val="single" w:sz="2" w:space="0" w:color="auto"/>
              <w:bottom w:val="single" w:sz="2" w:space="0" w:color="auto"/>
              <w:right w:val="single" w:sz="2" w:space="0" w:color="auto"/>
            </w:tcBorders>
            <w:shd w:val="clear" w:color="auto" w:fill="002060"/>
            <w:vAlign w:val="center"/>
          </w:tcPr>
          <w:p w14:paraId="78123EB4" w14:textId="50D3BC82" w:rsidR="00BD6193" w:rsidRPr="009B0B79" w:rsidRDefault="00BD6193" w:rsidP="002B1252">
            <w:pPr>
              <w:keepNext/>
              <w:keepLines/>
              <w:spacing w:line="240" w:lineRule="auto"/>
              <w:jc w:val="left"/>
              <w:outlineLvl w:val="2"/>
              <w:rPr>
                <w:rFonts w:cs="Arial"/>
                <w:b/>
                <w:color w:val="FFFFFF" w:themeColor="background1"/>
                <w:szCs w:val="20"/>
              </w:rPr>
            </w:pPr>
            <w:bookmarkStart w:id="26" w:name="_Toc445580727"/>
            <w:bookmarkStart w:id="27" w:name="_Toc456621542"/>
            <w:r w:rsidRPr="009B0B79">
              <w:rPr>
                <w:rFonts w:cs="Arial"/>
                <w:b/>
                <w:color w:val="FFFFFF" w:themeColor="background1"/>
                <w:szCs w:val="20"/>
              </w:rPr>
              <w:t>Proposed National Core Capabilities</w:t>
            </w:r>
            <w:bookmarkEnd w:id="26"/>
            <w:bookmarkEnd w:id="27"/>
          </w:p>
        </w:tc>
        <w:tc>
          <w:tcPr>
            <w:tcW w:w="1800" w:type="dxa"/>
            <w:tcBorders>
              <w:top w:val="single" w:sz="2" w:space="0" w:color="auto"/>
              <w:left w:val="single" w:sz="2" w:space="0" w:color="auto"/>
              <w:bottom w:val="single" w:sz="2" w:space="0" w:color="auto"/>
              <w:right w:val="single" w:sz="2" w:space="0" w:color="auto"/>
            </w:tcBorders>
            <w:shd w:val="clear" w:color="auto" w:fill="002060"/>
            <w:vAlign w:val="center"/>
          </w:tcPr>
          <w:p w14:paraId="6EFC7FBE" w14:textId="72FF1941" w:rsidR="00BD6193" w:rsidRPr="009B0B79" w:rsidRDefault="00BD6193" w:rsidP="002B1252">
            <w:pPr>
              <w:keepNext/>
              <w:keepLines/>
              <w:spacing w:line="240" w:lineRule="auto"/>
              <w:jc w:val="left"/>
              <w:outlineLvl w:val="2"/>
              <w:rPr>
                <w:rFonts w:cs="Arial"/>
                <w:b/>
                <w:color w:val="FFFFFF" w:themeColor="background1"/>
                <w:szCs w:val="20"/>
              </w:rPr>
            </w:pPr>
            <w:bookmarkStart w:id="28" w:name="_Toc445580728"/>
            <w:bookmarkStart w:id="29" w:name="_Toc456621543"/>
            <w:r w:rsidRPr="009B0B79">
              <w:rPr>
                <w:rFonts w:cs="Arial"/>
                <w:b/>
                <w:color w:val="FFFFFF" w:themeColor="background1"/>
                <w:szCs w:val="20"/>
              </w:rPr>
              <w:t>Suggested Scenario</w:t>
            </w:r>
            <w:r w:rsidR="00616460" w:rsidRPr="009B0B79">
              <w:rPr>
                <w:rFonts w:cs="Arial"/>
                <w:b/>
                <w:color w:val="FFFFFF" w:themeColor="background1"/>
                <w:szCs w:val="20"/>
              </w:rPr>
              <w:t xml:space="preserve"> </w:t>
            </w:r>
            <w:r w:rsidRPr="009B0B79">
              <w:rPr>
                <w:rFonts w:cs="Arial"/>
                <w:b/>
                <w:color w:val="FFFFFF" w:themeColor="background1"/>
                <w:szCs w:val="20"/>
              </w:rPr>
              <w:t>(s)</w:t>
            </w:r>
            <w:bookmarkEnd w:id="28"/>
            <w:bookmarkEnd w:id="29"/>
          </w:p>
        </w:tc>
        <w:tc>
          <w:tcPr>
            <w:tcW w:w="2250" w:type="dxa"/>
            <w:tcBorders>
              <w:top w:val="single" w:sz="2" w:space="0" w:color="auto"/>
              <w:left w:val="single" w:sz="2" w:space="0" w:color="auto"/>
              <w:bottom w:val="single" w:sz="2" w:space="0" w:color="auto"/>
              <w:right w:val="single" w:sz="2" w:space="0" w:color="auto"/>
            </w:tcBorders>
            <w:shd w:val="clear" w:color="auto" w:fill="002060"/>
            <w:vAlign w:val="center"/>
          </w:tcPr>
          <w:p w14:paraId="67BD7BB4" w14:textId="77777777" w:rsidR="00BD6193" w:rsidRPr="009B0B79" w:rsidRDefault="00BD6193" w:rsidP="002B1252">
            <w:pPr>
              <w:keepNext/>
              <w:keepLines/>
              <w:spacing w:line="240" w:lineRule="auto"/>
              <w:jc w:val="left"/>
              <w:outlineLvl w:val="2"/>
              <w:rPr>
                <w:rFonts w:cs="Arial"/>
                <w:b/>
                <w:color w:val="FFFFFF" w:themeColor="background1"/>
                <w:szCs w:val="20"/>
              </w:rPr>
            </w:pPr>
            <w:bookmarkStart w:id="30" w:name="_Toc445580729"/>
            <w:bookmarkStart w:id="31" w:name="_Toc456621544"/>
            <w:r w:rsidRPr="009B0B79">
              <w:rPr>
                <w:rFonts w:cs="Arial"/>
                <w:b/>
                <w:color w:val="FFFFFF" w:themeColor="background1"/>
                <w:szCs w:val="20"/>
              </w:rPr>
              <w:t>Other Considerations</w:t>
            </w:r>
            <w:r w:rsidRPr="009B0B79">
              <w:rPr>
                <w:rStyle w:val="FootnoteReference"/>
                <w:rFonts w:cs="Arial"/>
                <w:b/>
                <w:color w:val="FFFFFF" w:themeColor="background1"/>
                <w:szCs w:val="20"/>
              </w:rPr>
              <w:footnoteReference w:id="3"/>
            </w:r>
            <w:bookmarkEnd w:id="30"/>
            <w:bookmarkEnd w:id="31"/>
          </w:p>
        </w:tc>
        <w:tc>
          <w:tcPr>
            <w:tcW w:w="1260" w:type="dxa"/>
            <w:tcBorders>
              <w:top w:val="single" w:sz="2" w:space="0" w:color="auto"/>
              <w:left w:val="single" w:sz="2" w:space="0" w:color="auto"/>
              <w:bottom w:val="single" w:sz="2" w:space="0" w:color="auto"/>
              <w:right w:val="single" w:sz="2" w:space="0" w:color="auto"/>
            </w:tcBorders>
            <w:shd w:val="clear" w:color="auto" w:fill="002060"/>
            <w:vAlign w:val="center"/>
          </w:tcPr>
          <w:p w14:paraId="6B3FA6F1" w14:textId="77777777" w:rsidR="00BD6193" w:rsidRPr="009B0B79" w:rsidRDefault="00BD6193" w:rsidP="002B1252">
            <w:pPr>
              <w:keepNext/>
              <w:keepLines/>
              <w:spacing w:line="240" w:lineRule="auto"/>
              <w:jc w:val="left"/>
              <w:outlineLvl w:val="2"/>
              <w:rPr>
                <w:rFonts w:cs="Arial"/>
                <w:b/>
                <w:color w:val="FFFFFF" w:themeColor="background1"/>
                <w:szCs w:val="20"/>
              </w:rPr>
            </w:pPr>
            <w:bookmarkStart w:id="32" w:name="_Toc445580730"/>
            <w:bookmarkStart w:id="33" w:name="_Toc456621545"/>
            <w:r w:rsidRPr="009B0B79">
              <w:rPr>
                <w:rFonts w:cs="Arial"/>
                <w:b/>
                <w:color w:val="FFFFFF" w:themeColor="background1"/>
                <w:szCs w:val="20"/>
              </w:rPr>
              <w:t>Regional Focus</w:t>
            </w:r>
            <w:r w:rsidRPr="009B0B79">
              <w:rPr>
                <w:rStyle w:val="FootnoteReference"/>
                <w:rFonts w:cs="Arial"/>
                <w:b/>
                <w:color w:val="FFFFFF" w:themeColor="background1"/>
                <w:szCs w:val="20"/>
              </w:rPr>
              <w:footnoteReference w:id="4"/>
            </w:r>
            <w:bookmarkEnd w:id="32"/>
            <w:bookmarkEnd w:id="33"/>
          </w:p>
        </w:tc>
      </w:tr>
      <w:tr w:rsidR="000752D7" w:rsidRPr="00AB3BD2" w14:paraId="60DB1A35" w14:textId="77777777" w:rsidTr="00C146AF">
        <w:trPr>
          <w:trHeight w:val="2245"/>
        </w:trPr>
        <w:tc>
          <w:tcPr>
            <w:tcW w:w="1080" w:type="dxa"/>
            <w:tcBorders>
              <w:top w:val="single" w:sz="2" w:space="0" w:color="auto"/>
              <w:left w:val="single" w:sz="2" w:space="0" w:color="auto"/>
              <w:bottom w:val="single" w:sz="2" w:space="0" w:color="auto"/>
              <w:right w:val="single" w:sz="2" w:space="0" w:color="auto"/>
            </w:tcBorders>
            <w:vAlign w:val="center"/>
          </w:tcPr>
          <w:p w14:paraId="72B4A0B4" w14:textId="10893C12" w:rsidR="000752D7" w:rsidRPr="002F3783" w:rsidRDefault="000752D7" w:rsidP="000752D7">
            <w:pPr>
              <w:jc w:val="left"/>
              <w:rPr>
                <w:rFonts w:eastAsia="MS Gothic" w:cs="Arial"/>
                <w:b/>
                <w:bCs/>
                <w:szCs w:val="20"/>
              </w:rPr>
            </w:pPr>
            <w:r w:rsidRPr="002F3783">
              <w:rPr>
                <w:rFonts w:eastAsia="MS Gothic" w:cs="Arial"/>
                <w:b/>
                <w:bCs/>
                <w:szCs w:val="20"/>
              </w:rPr>
              <w:t>2023</w:t>
            </w:r>
          </w:p>
        </w:tc>
        <w:tc>
          <w:tcPr>
            <w:tcW w:w="2340" w:type="dxa"/>
            <w:tcBorders>
              <w:top w:val="single" w:sz="2" w:space="0" w:color="auto"/>
              <w:left w:val="single" w:sz="2" w:space="0" w:color="auto"/>
              <w:bottom w:val="single" w:sz="2" w:space="0" w:color="auto"/>
              <w:right w:val="single" w:sz="2" w:space="0" w:color="auto"/>
            </w:tcBorders>
            <w:vAlign w:val="center"/>
          </w:tcPr>
          <w:p w14:paraId="40058F3E" w14:textId="77777777" w:rsidR="000752D7" w:rsidRDefault="002F3783" w:rsidP="002E7663">
            <w:pPr>
              <w:pStyle w:val="ListParagraph"/>
              <w:numPr>
                <w:ilvl w:val="0"/>
                <w:numId w:val="17"/>
              </w:numPr>
              <w:spacing w:line="240" w:lineRule="auto"/>
              <w:jc w:val="left"/>
            </w:pPr>
            <w:r>
              <w:t xml:space="preserve">Community Preparedness </w:t>
            </w:r>
          </w:p>
          <w:p w14:paraId="06B0CC11" w14:textId="77777777" w:rsidR="002F3783" w:rsidRDefault="002F3783" w:rsidP="002E7663">
            <w:pPr>
              <w:pStyle w:val="ListParagraph"/>
              <w:numPr>
                <w:ilvl w:val="0"/>
                <w:numId w:val="17"/>
              </w:numPr>
              <w:spacing w:line="240" w:lineRule="auto"/>
              <w:jc w:val="left"/>
            </w:pPr>
            <w:r>
              <w:t>Community Recovery</w:t>
            </w:r>
          </w:p>
          <w:p w14:paraId="2DEBD8DE" w14:textId="77777777" w:rsidR="002F3783" w:rsidRDefault="002F3783" w:rsidP="002E7663">
            <w:pPr>
              <w:pStyle w:val="ListParagraph"/>
              <w:numPr>
                <w:ilvl w:val="0"/>
                <w:numId w:val="17"/>
              </w:numPr>
              <w:spacing w:line="240" w:lineRule="auto"/>
              <w:jc w:val="left"/>
            </w:pPr>
            <w:r>
              <w:t xml:space="preserve">Emergency Operations Coordination </w:t>
            </w:r>
          </w:p>
          <w:p w14:paraId="4D9B0D6D" w14:textId="77777777" w:rsidR="002F3783" w:rsidRDefault="002F3783" w:rsidP="002E7663">
            <w:pPr>
              <w:pStyle w:val="ListParagraph"/>
              <w:numPr>
                <w:ilvl w:val="0"/>
                <w:numId w:val="17"/>
              </w:numPr>
              <w:spacing w:line="240" w:lineRule="auto"/>
              <w:jc w:val="left"/>
            </w:pPr>
            <w:r>
              <w:t xml:space="preserve">Public Information </w:t>
            </w:r>
            <w:r w:rsidR="00196657">
              <w:t>and Emergency Public Information Warning</w:t>
            </w:r>
          </w:p>
          <w:p w14:paraId="0DE38B90" w14:textId="77777777" w:rsidR="00196657" w:rsidRDefault="00196657" w:rsidP="002E7663">
            <w:pPr>
              <w:pStyle w:val="ListParagraph"/>
              <w:numPr>
                <w:ilvl w:val="0"/>
                <w:numId w:val="17"/>
              </w:numPr>
              <w:spacing w:line="240" w:lineRule="auto"/>
              <w:jc w:val="left"/>
            </w:pPr>
            <w:r>
              <w:t xml:space="preserve">Fatality Management </w:t>
            </w:r>
          </w:p>
          <w:p w14:paraId="5415FADF" w14:textId="77777777" w:rsidR="00196657" w:rsidRDefault="00196657" w:rsidP="002E7663">
            <w:pPr>
              <w:pStyle w:val="ListParagraph"/>
              <w:numPr>
                <w:ilvl w:val="0"/>
                <w:numId w:val="17"/>
              </w:numPr>
              <w:spacing w:line="240" w:lineRule="auto"/>
              <w:jc w:val="left"/>
            </w:pPr>
            <w:r>
              <w:t xml:space="preserve">Information Sharing </w:t>
            </w:r>
          </w:p>
          <w:p w14:paraId="65DDA76B" w14:textId="77777777" w:rsidR="00196657" w:rsidRDefault="00196657" w:rsidP="002E7663">
            <w:pPr>
              <w:pStyle w:val="ListParagraph"/>
              <w:numPr>
                <w:ilvl w:val="0"/>
                <w:numId w:val="17"/>
              </w:numPr>
              <w:spacing w:line="240" w:lineRule="auto"/>
              <w:jc w:val="left"/>
            </w:pPr>
            <w:r>
              <w:t>Mass Care</w:t>
            </w:r>
          </w:p>
          <w:p w14:paraId="667850AB" w14:textId="77777777" w:rsidR="00196657" w:rsidRDefault="00196657" w:rsidP="002E7663">
            <w:pPr>
              <w:pStyle w:val="ListParagraph"/>
              <w:numPr>
                <w:ilvl w:val="0"/>
                <w:numId w:val="17"/>
              </w:numPr>
              <w:spacing w:line="240" w:lineRule="auto"/>
              <w:jc w:val="left"/>
            </w:pPr>
            <w:r>
              <w:t xml:space="preserve">Medical Material Management and Distribution </w:t>
            </w:r>
          </w:p>
          <w:p w14:paraId="2ED02BC2" w14:textId="77777777" w:rsidR="00196657" w:rsidRDefault="00196657" w:rsidP="002E7663">
            <w:pPr>
              <w:pStyle w:val="ListParagraph"/>
              <w:numPr>
                <w:ilvl w:val="0"/>
                <w:numId w:val="17"/>
              </w:numPr>
              <w:spacing w:line="240" w:lineRule="auto"/>
              <w:jc w:val="left"/>
            </w:pPr>
            <w:r>
              <w:t xml:space="preserve">Medical Surge </w:t>
            </w:r>
          </w:p>
          <w:p w14:paraId="7E222FC5" w14:textId="77777777" w:rsidR="00196657" w:rsidRDefault="00196657" w:rsidP="002E7663">
            <w:pPr>
              <w:pStyle w:val="ListParagraph"/>
              <w:numPr>
                <w:ilvl w:val="0"/>
                <w:numId w:val="17"/>
              </w:numPr>
              <w:spacing w:line="240" w:lineRule="auto"/>
              <w:jc w:val="left"/>
            </w:pPr>
            <w:r>
              <w:lastRenderedPageBreak/>
              <w:t xml:space="preserve">Responder Safety and Health </w:t>
            </w:r>
          </w:p>
          <w:p w14:paraId="2A8E8B90" w14:textId="66DED104" w:rsidR="00196657" w:rsidRPr="002F3783" w:rsidRDefault="00196657" w:rsidP="002E7663">
            <w:pPr>
              <w:pStyle w:val="ListParagraph"/>
              <w:numPr>
                <w:ilvl w:val="0"/>
                <w:numId w:val="17"/>
              </w:numPr>
              <w:spacing w:line="240" w:lineRule="auto"/>
              <w:jc w:val="left"/>
            </w:pPr>
            <w:r>
              <w:t xml:space="preserve">Volunteer Management </w:t>
            </w:r>
          </w:p>
        </w:tc>
        <w:tc>
          <w:tcPr>
            <w:tcW w:w="1620" w:type="dxa"/>
            <w:tcBorders>
              <w:top w:val="single" w:sz="2" w:space="0" w:color="auto"/>
              <w:left w:val="single" w:sz="2" w:space="0" w:color="auto"/>
              <w:bottom w:val="single" w:sz="2" w:space="0" w:color="auto"/>
              <w:right w:val="single" w:sz="2" w:space="0" w:color="auto"/>
            </w:tcBorders>
            <w:vAlign w:val="center"/>
          </w:tcPr>
          <w:p w14:paraId="57732051" w14:textId="77777777" w:rsidR="000752D7" w:rsidRPr="00196657" w:rsidRDefault="00196657" w:rsidP="000752D7">
            <w:pPr>
              <w:pStyle w:val="ListParagraph"/>
              <w:numPr>
                <w:ilvl w:val="0"/>
                <w:numId w:val="16"/>
              </w:numPr>
              <w:spacing w:line="240" w:lineRule="auto"/>
              <w:jc w:val="left"/>
              <w:rPr>
                <w:rFonts w:eastAsiaTheme="majorEastAsia"/>
              </w:rPr>
            </w:pPr>
            <w:r w:rsidRPr="00196657">
              <w:rPr>
                <w:rFonts w:eastAsiaTheme="majorEastAsia"/>
              </w:rPr>
              <w:lastRenderedPageBreak/>
              <w:t xml:space="preserve">Medical Surge </w:t>
            </w:r>
          </w:p>
          <w:p w14:paraId="1AFE2784" w14:textId="71B56867" w:rsidR="00196657" w:rsidRPr="00196657" w:rsidRDefault="00196657" w:rsidP="00196657">
            <w:pPr>
              <w:pStyle w:val="ListParagraph"/>
              <w:numPr>
                <w:ilvl w:val="0"/>
                <w:numId w:val="0"/>
              </w:numPr>
              <w:spacing w:line="240" w:lineRule="auto"/>
              <w:ind w:left="360"/>
              <w:jc w:val="left"/>
              <w:rPr>
                <w:rFonts w:eastAsiaTheme="majorEastAsia"/>
              </w:rPr>
            </w:pPr>
          </w:p>
        </w:tc>
        <w:tc>
          <w:tcPr>
            <w:tcW w:w="1440" w:type="dxa"/>
            <w:tcBorders>
              <w:top w:val="single" w:sz="2" w:space="0" w:color="auto"/>
              <w:left w:val="single" w:sz="2" w:space="0" w:color="auto"/>
              <w:bottom w:val="single" w:sz="2" w:space="0" w:color="auto"/>
              <w:right w:val="single" w:sz="2" w:space="0" w:color="auto"/>
            </w:tcBorders>
            <w:vAlign w:val="center"/>
          </w:tcPr>
          <w:p w14:paraId="02C6CDF4" w14:textId="551BFDC7" w:rsidR="000752D7" w:rsidRPr="002F3783" w:rsidRDefault="00C35344" w:rsidP="000752D7">
            <w:pPr>
              <w:spacing w:line="240" w:lineRule="auto"/>
              <w:jc w:val="left"/>
              <w:rPr>
                <w:i/>
                <w:iCs/>
                <w:szCs w:val="20"/>
              </w:rPr>
            </w:pPr>
            <w:r>
              <w:rPr>
                <w:i/>
                <w:iCs/>
                <w:szCs w:val="20"/>
              </w:rPr>
              <w:t xml:space="preserve">Medical Surge </w:t>
            </w:r>
          </w:p>
        </w:tc>
        <w:tc>
          <w:tcPr>
            <w:tcW w:w="2250" w:type="dxa"/>
            <w:tcBorders>
              <w:top w:val="single" w:sz="2" w:space="0" w:color="auto"/>
              <w:left w:val="single" w:sz="2" w:space="0" w:color="auto"/>
              <w:bottom w:val="single" w:sz="2" w:space="0" w:color="auto"/>
              <w:right w:val="single" w:sz="2" w:space="0" w:color="auto"/>
            </w:tcBorders>
            <w:vAlign w:val="center"/>
          </w:tcPr>
          <w:p w14:paraId="3045AE5C" w14:textId="77777777" w:rsidR="000752D7" w:rsidRDefault="00196657" w:rsidP="000752D7">
            <w:pPr>
              <w:pStyle w:val="ListParagraph"/>
              <w:numPr>
                <w:ilvl w:val="0"/>
                <w:numId w:val="14"/>
              </w:numPr>
              <w:spacing w:line="240" w:lineRule="auto"/>
              <w:jc w:val="left"/>
            </w:pPr>
            <w:r>
              <w:t xml:space="preserve">Public Information and Warning </w:t>
            </w:r>
          </w:p>
          <w:p w14:paraId="469211A0" w14:textId="77777777" w:rsidR="00196657" w:rsidRDefault="00196657" w:rsidP="000752D7">
            <w:pPr>
              <w:pStyle w:val="ListParagraph"/>
              <w:numPr>
                <w:ilvl w:val="0"/>
                <w:numId w:val="14"/>
              </w:numPr>
              <w:spacing w:line="240" w:lineRule="auto"/>
              <w:jc w:val="left"/>
            </w:pPr>
            <w:r>
              <w:t xml:space="preserve">Operational Coordination </w:t>
            </w:r>
          </w:p>
          <w:p w14:paraId="0E4F9F93" w14:textId="77777777" w:rsidR="00196657" w:rsidRDefault="00196657" w:rsidP="000752D7">
            <w:pPr>
              <w:pStyle w:val="ListParagraph"/>
              <w:numPr>
                <w:ilvl w:val="0"/>
                <w:numId w:val="14"/>
              </w:numPr>
              <w:spacing w:line="240" w:lineRule="auto"/>
              <w:jc w:val="left"/>
            </w:pPr>
            <w:r>
              <w:t xml:space="preserve">Intelligence and Information Sharing </w:t>
            </w:r>
          </w:p>
          <w:p w14:paraId="068D5293" w14:textId="77777777" w:rsidR="00196657" w:rsidRDefault="00196657" w:rsidP="000752D7">
            <w:pPr>
              <w:pStyle w:val="ListParagraph"/>
              <w:numPr>
                <w:ilvl w:val="0"/>
                <w:numId w:val="14"/>
              </w:numPr>
              <w:spacing w:line="240" w:lineRule="auto"/>
              <w:jc w:val="left"/>
            </w:pPr>
            <w:r>
              <w:t xml:space="preserve">Community Resilience </w:t>
            </w:r>
          </w:p>
          <w:p w14:paraId="233E00D3" w14:textId="77777777" w:rsidR="00196657" w:rsidRDefault="00196657" w:rsidP="000752D7">
            <w:pPr>
              <w:pStyle w:val="ListParagraph"/>
              <w:numPr>
                <w:ilvl w:val="0"/>
                <w:numId w:val="14"/>
              </w:numPr>
              <w:spacing w:line="240" w:lineRule="auto"/>
              <w:jc w:val="left"/>
            </w:pPr>
            <w:r>
              <w:t xml:space="preserve">Fatality Management Services </w:t>
            </w:r>
          </w:p>
          <w:p w14:paraId="1F7865C5" w14:textId="77777777" w:rsidR="00196657" w:rsidRDefault="00196657" w:rsidP="000752D7">
            <w:pPr>
              <w:pStyle w:val="ListParagraph"/>
              <w:numPr>
                <w:ilvl w:val="0"/>
                <w:numId w:val="14"/>
              </w:numPr>
              <w:spacing w:line="240" w:lineRule="auto"/>
              <w:jc w:val="left"/>
            </w:pPr>
            <w:r>
              <w:t xml:space="preserve">Logistics and Supply Chain Management </w:t>
            </w:r>
          </w:p>
          <w:p w14:paraId="7B24CEF8" w14:textId="77777777" w:rsidR="00196657" w:rsidRDefault="00196657" w:rsidP="000752D7">
            <w:pPr>
              <w:pStyle w:val="ListParagraph"/>
              <w:numPr>
                <w:ilvl w:val="0"/>
                <w:numId w:val="14"/>
              </w:numPr>
              <w:spacing w:line="240" w:lineRule="auto"/>
              <w:jc w:val="left"/>
            </w:pPr>
            <w:r>
              <w:t xml:space="preserve">Mass Care Services </w:t>
            </w:r>
          </w:p>
          <w:p w14:paraId="3FAC4A39" w14:textId="77777777" w:rsidR="00196657" w:rsidRDefault="00196657" w:rsidP="000752D7">
            <w:pPr>
              <w:pStyle w:val="ListParagraph"/>
              <w:numPr>
                <w:ilvl w:val="0"/>
                <w:numId w:val="14"/>
              </w:numPr>
              <w:spacing w:line="240" w:lineRule="auto"/>
              <w:jc w:val="left"/>
            </w:pPr>
            <w:r>
              <w:t xml:space="preserve">On-scene </w:t>
            </w:r>
            <w:r w:rsidR="00C35344">
              <w:t xml:space="preserve">Security, </w:t>
            </w:r>
            <w:r w:rsidR="00C35344">
              <w:lastRenderedPageBreak/>
              <w:t xml:space="preserve">Protection, and Law Enforcement </w:t>
            </w:r>
          </w:p>
          <w:p w14:paraId="1CDE2886" w14:textId="5B9337DA" w:rsidR="00C35344" w:rsidRPr="002F3783" w:rsidRDefault="00C35344" w:rsidP="000752D7">
            <w:pPr>
              <w:pStyle w:val="ListParagraph"/>
              <w:numPr>
                <w:ilvl w:val="0"/>
                <w:numId w:val="14"/>
              </w:numPr>
              <w:spacing w:line="240" w:lineRule="auto"/>
              <w:jc w:val="left"/>
            </w:pPr>
            <w:r>
              <w:t xml:space="preserve">Public Health, Healthcare, and Emergency Medical Services </w:t>
            </w:r>
          </w:p>
        </w:tc>
        <w:tc>
          <w:tcPr>
            <w:tcW w:w="1800" w:type="dxa"/>
            <w:tcBorders>
              <w:top w:val="single" w:sz="2" w:space="0" w:color="auto"/>
              <w:left w:val="single" w:sz="2" w:space="0" w:color="auto"/>
              <w:bottom w:val="single" w:sz="2" w:space="0" w:color="auto"/>
              <w:right w:val="single" w:sz="2" w:space="0" w:color="auto"/>
            </w:tcBorders>
            <w:vAlign w:val="center"/>
          </w:tcPr>
          <w:p w14:paraId="11C570C1" w14:textId="10FBF242" w:rsidR="000752D7" w:rsidRPr="002F3783" w:rsidRDefault="002F3783" w:rsidP="000752D7">
            <w:pPr>
              <w:jc w:val="left"/>
              <w:rPr>
                <w:b/>
                <w:szCs w:val="20"/>
              </w:rPr>
            </w:pPr>
            <w:r w:rsidRPr="002F3783">
              <w:rPr>
                <w:b/>
                <w:szCs w:val="20"/>
              </w:rPr>
              <w:lastRenderedPageBreak/>
              <w:t xml:space="preserve">Chemical fire </w:t>
            </w:r>
          </w:p>
        </w:tc>
        <w:tc>
          <w:tcPr>
            <w:tcW w:w="2250" w:type="dxa"/>
            <w:tcBorders>
              <w:top w:val="single" w:sz="2" w:space="0" w:color="auto"/>
              <w:left w:val="single" w:sz="2" w:space="0" w:color="auto"/>
              <w:bottom w:val="single" w:sz="2" w:space="0" w:color="auto"/>
              <w:right w:val="single" w:sz="2" w:space="0" w:color="auto"/>
            </w:tcBorders>
            <w:vAlign w:val="center"/>
          </w:tcPr>
          <w:p w14:paraId="43E5FDFF" w14:textId="77777777" w:rsidR="000752D7" w:rsidRPr="002F3783" w:rsidRDefault="002F3783" w:rsidP="000752D7">
            <w:pPr>
              <w:pStyle w:val="ListParagraph"/>
              <w:numPr>
                <w:ilvl w:val="0"/>
                <w:numId w:val="15"/>
              </w:numPr>
              <w:jc w:val="left"/>
            </w:pPr>
            <w:r w:rsidRPr="002F3783">
              <w:t xml:space="preserve">Burn Surge </w:t>
            </w:r>
          </w:p>
          <w:p w14:paraId="6D6BF2B7" w14:textId="40E255E0" w:rsidR="002F3783" w:rsidRPr="002F3783" w:rsidRDefault="002F3783" w:rsidP="000752D7">
            <w:pPr>
              <w:pStyle w:val="ListParagraph"/>
              <w:numPr>
                <w:ilvl w:val="0"/>
                <w:numId w:val="15"/>
              </w:numPr>
              <w:jc w:val="left"/>
            </w:pPr>
            <w:r w:rsidRPr="002F3783">
              <w:t xml:space="preserve">Pediatric Surge </w:t>
            </w:r>
          </w:p>
        </w:tc>
        <w:tc>
          <w:tcPr>
            <w:tcW w:w="1260" w:type="dxa"/>
            <w:tcBorders>
              <w:top w:val="single" w:sz="2" w:space="0" w:color="auto"/>
              <w:left w:val="single" w:sz="2" w:space="0" w:color="auto"/>
              <w:bottom w:val="single" w:sz="2" w:space="0" w:color="auto"/>
              <w:right w:val="single" w:sz="2" w:space="0" w:color="auto"/>
            </w:tcBorders>
            <w:vAlign w:val="center"/>
          </w:tcPr>
          <w:p w14:paraId="21F8CCF2" w14:textId="45DC7300" w:rsidR="000752D7" w:rsidRPr="002F3783" w:rsidRDefault="002F3783" w:rsidP="000752D7">
            <w:pPr>
              <w:jc w:val="left"/>
              <w:rPr>
                <w:rFonts w:eastAsiaTheme="majorEastAsia" w:cs="Arial"/>
                <w:b/>
                <w:bCs/>
                <w:szCs w:val="20"/>
              </w:rPr>
            </w:pPr>
            <w:r w:rsidRPr="002F3783">
              <w:rPr>
                <w:rFonts w:eastAsiaTheme="majorEastAsia" w:cs="Arial"/>
                <w:b/>
                <w:bCs/>
                <w:szCs w:val="20"/>
              </w:rPr>
              <w:t>N/A</w:t>
            </w:r>
          </w:p>
        </w:tc>
      </w:tr>
      <w:tr w:rsidR="000752D7" w:rsidRPr="00AB3BD2" w14:paraId="1249199D" w14:textId="77777777" w:rsidTr="0009612C">
        <w:trPr>
          <w:cantSplit/>
          <w:trHeight w:val="1138"/>
        </w:trPr>
        <w:tc>
          <w:tcPr>
            <w:tcW w:w="1080" w:type="dxa"/>
            <w:tcBorders>
              <w:top w:val="single" w:sz="2" w:space="0" w:color="auto"/>
              <w:left w:val="single" w:sz="2" w:space="0" w:color="auto"/>
              <w:bottom w:val="single" w:sz="2" w:space="0" w:color="auto"/>
              <w:right w:val="single" w:sz="2" w:space="0" w:color="auto"/>
            </w:tcBorders>
            <w:vAlign w:val="center"/>
          </w:tcPr>
          <w:p w14:paraId="164DC597" w14:textId="6FA6E6EE" w:rsidR="000752D7" w:rsidRPr="002F3783" w:rsidRDefault="000752D7" w:rsidP="000752D7">
            <w:pPr>
              <w:jc w:val="left"/>
              <w:rPr>
                <w:rFonts w:eastAsia="MS Gothic" w:cs="Arial"/>
                <w:b/>
                <w:bCs/>
                <w:szCs w:val="20"/>
              </w:rPr>
            </w:pPr>
            <w:r w:rsidRPr="002F3783">
              <w:rPr>
                <w:rFonts w:eastAsia="MS Gothic" w:cs="Arial"/>
                <w:b/>
                <w:bCs/>
                <w:szCs w:val="20"/>
              </w:rPr>
              <w:lastRenderedPageBreak/>
              <w:t>2024</w:t>
            </w:r>
          </w:p>
        </w:tc>
        <w:tc>
          <w:tcPr>
            <w:tcW w:w="2340" w:type="dxa"/>
            <w:tcBorders>
              <w:top w:val="single" w:sz="2" w:space="0" w:color="auto"/>
              <w:left w:val="single" w:sz="2" w:space="0" w:color="auto"/>
              <w:bottom w:val="single" w:sz="2" w:space="0" w:color="auto"/>
              <w:right w:val="single" w:sz="2" w:space="0" w:color="auto"/>
            </w:tcBorders>
            <w:vAlign w:val="center"/>
          </w:tcPr>
          <w:p w14:paraId="71E45270" w14:textId="77777777" w:rsidR="002E7663" w:rsidRDefault="002E7663" w:rsidP="002E7663">
            <w:pPr>
              <w:pStyle w:val="ListParagraph"/>
              <w:numPr>
                <w:ilvl w:val="0"/>
                <w:numId w:val="17"/>
              </w:numPr>
              <w:spacing w:line="240" w:lineRule="auto"/>
              <w:jc w:val="left"/>
            </w:pPr>
            <w:r>
              <w:t xml:space="preserve">Community Preparedness </w:t>
            </w:r>
          </w:p>
          <w:p w14:paraId="5F3B92E3" w14:textId="77777777" w:rsidR="002E7663" w:rsidRDefault="002E7663" w:rsidP="002E7663">
            <w:pPr>
              <w:pStyle w:val="ListParagraph"/>
              <w:numPr>
                <w:ilvl w:val="0"/>
                <w:numId w:val="17"/>
              </w:numPr>
              <w:spacing w:line="240" w:lineRule="auto"/>
              <w:jc w:val="left"/>
            </w:pPr>
            <w:r>
              <w:t>Community Recovery</w:t>
            </w:r>
          </w:p>
          <w:p w14:paraId="0B7F0694" w14:textId="77777777" w:rsidR="002E7663" w:rsidRDefault="002E7663" w:rsidP="002E7663">
            <w:pPr>
              <w:pStyle w:val="ListParagraph"/>
              <w:numPr>
                <w:ilvl w:val="0"/>
                <w:numId w:val="17"/>
              </w:numPr>
              <w:spacing w:line="240" w:lineRule="auto"/>
              <w:jc w:val="left"/>
            </w:pPr>
            <w:r>
              <w:t xml:space="preserve">Emergency Operations Coordination </w:t>
            </w:r>
          </w:p>
          <w:p w14:paraId="232C15C3" w14:textId="77777777" w:rsidR="002E7663" w:rsidRDefault="002E7663" w:rsidP="002E7663">
            <w:pPr>
              <w:pStyle w:val="ListParagraph"/>
              <w:numPr>
                <w:ilvl w:val="0"/>
                <w:numId w:val="17"/>
              </w:numPr>
              <w:spacing w:line="240" w:lineRule="auto"/>
              <w:jc w:val="left"/>
            </w:pPr>
            <w:r>
              <w:t>Public Information and Emergency Public Information Warning</w:t>
            </w:r>
          </w:p>
          <w:p w14:paraId="6D4BA3F1" w14:textId="77777777" w:rsidR="002E7663" w:rsidRDefault="002E7663" w:rsidP="002E7663">
            <w:pPr>
              <w:pStyle w:val="ListParagraph"/>
              <w:numPr>
                <w:ilvl w:val="0"/>
                <w:numId w:val="17"/>
              </w:numPr>
              <w:spacing w:line="240" w:lineRule="auto"/>
              <w:jc w:val="left"/>
            </w:pPr>
            <w:r>
              <w:t xml:space="preserve">Fatality Management </w:t>
            </w:r>
          </w:p>
          <w:p w14:paraId="09DD470B" w14:textId="77777777" w:rsidR="002E7663" w:rsidRDefault="002E7663" w:rsidP="002E7663">
            <w:pPr>
              <w:pStyle w:val="ListParagraph"/>
              <w:numPr>
                <w:ilvl w:val="0"/>
                <w:numId w:val="17"/>
              </w:numPr>
              <w:spacing w:line="240" w:lineRule="auto"/>
              <w:jc w:val="left"/>
            </w:pPr>
            <w:r>
              <w:t xml:space="preserve">Information Sharing </w:t>
            </w:r>
          </w:p>
          <w:p w14:paraId="08FB3975" w14:textId="77777777" w:rsidR="002E7663" w:rsidRDefault="002E7663" w:rsidP="002E7663">
            <w:pPr>
              <w:pStyle w:val="ListParagraph"/>
              <w:numPr>
                <w:ilvl w:val="0"/>
                <w:numId w:val="17"/>
              </w:numPr>
              <w:spacing w:line="240" w:lineRule="auto"/>
              <w:jc w:val="left"/>
            </w:pPr>
            <w:r>
              <w:t>Mass Care</w:t>
            </w:r>
          </w:p>
          <w:p w14:paraId="28D7E36B" w14:textId="77777777" w:rsidR="002E7663" w:rsidRDefault="002E7663" w:rsidP="002E7663">
            <w:pPr>
              <w:pStyle w:val="ListParagraph"/>
              <w:numPr>
                <w:ilvl w:val="0"/>
                <w:numId w:val="17"/>
              </w:numPr>
              <w:spacing w:line="240" w:lineRule="auto"/>
              <w:jc w:val="left"/>
            </w:pPr>
            <w:r>
              <w:t xml:space="preserve">Medical Material Management and Distribution </w:t>
            </w:r>
          </w:p>
          <w:p w14:paraId="7D3C5643" w14:textId="77777777" w:rsidR="002E7663" w:rsidRDefault="002E7663" w:rsidP="002E7663">
            <w:pPr>
              <w:pStyle w:val="ListParagraph"/>
              <w:numPr>
                <w:ilvl w:val="0"/>
                <w:numId w:val="17"/>
              </w:numPr>
              <w:spacing w:line="240" w:lineRule="auto"/>
              <w:jc w:val="left"/>
            </w:pPr>
            <w:r>
              <w:t xml:space="preserve">Medical Surge </w:t>
            </w:r>
          </w:p>
          <w:p w14:paraId="0EC632BE" w14:textId="77777777" w:rsidR="002E7663" w:rsidRDefault="002E7663" w:rsidP="002E7663">
            <w:pPr>
              <w:pStyle w:val="ListParagraph"/>
              <w:numPr>
                <w:ilvl w:val="0"/>
                <w:numId w:val="17"/>
              </w:numPr>
              <w:spacing w:line="240" w:lineRule="auto"/>
              <w:jc w:val="left"/>
            </w:pPr>
            <w:r>
              <w:t xml:space="preserve">Responder Safety and Health </w:t>
            </w:r>
          </w:p>
          <w:p w14:paraId="649553CD" w14:textId="77777777" w:rsidR="002E7663" w:rsidRDefault="002E7663" w:rsidP="002E7663">
            <w:pPr>
              <w:pStyle w:val="ListParagraph"/>
              <w:numPr>
                <w:ilvl w:val="0"/>
                <w:numId w:val="17"/>
              </w:numPr>
              <w:spacing w:line="240" w:lineRule="auto"/>
              <w:jc w:val="left"/>
            </w:pPr>
            <w:r>
              <w:t xml:space="preserve">Volunteer Management </w:t>
            </w:r>
          </w:p>
          <w:p w14:paraId="40A1E9FA" w14:textId="77777777" w:rsidR="000752D7" w:rsidRPr="002F3783" w:rsidRDefault="000752D7" w:rsidP="002E7663">
            <w:pPr>
              <w:spacing w:line="240" w:lineRule="auto"/>
              <w:jc w:val="left"/>
            </w:pPr>
          </w:p>
        </w:tc>
        <w:tc>
          <w:tcPr>
            <w:tcW w:w="1620" w:type="dxa"/>
            <w:tcBorders>
              <w:top w:val="single" w:sz="2" w:space="0" w:color="auto"/>
              <w:left w:val="single" w:sz="2" w:space="0" w:color="auto"/>
              <w:bottom w:val="single" w:sz="2" w:space="0" w:color="auto"/>
              <w:right w:val="single" w:sz="2" w:space="0" w:color="auto"/>
            </w:tcBorders>
            <w:vAlign w:val="center"/>
          </w:tcPr>
          <w:p w14:paraId="1E99F789" w14:textId="0BDDC661" w:rsidR="000752D7" w:rsidRPr="002E7663" w:rsidRDefault="002E7663" w:rsidP="000752D7">
            <w:pPr>
              <w:pStyle w:val="ListParagraph"/>
              <w:numPr>
                <w:ilvl w:val="0"/>
                <w:numId w:val="16"/>
              </w:numPr>
              <w:spacing w:line="240" w:lineRule="auto"/>
              <w:jc w:val="left"/>
              <w:rPr>
                <w:rFonts w:eastAsiaTheme="majorEastAsia"/>
              </w:rPr>
            </w:pPr>
            <w:r w:rsidRPr="002E7663">
              <w:rPr>
                <w:rFonts w:eastAsiaTheme="majorEastAsia"/>
              </w:rPr>
              <w:t>Medical Surge</w:t>
            </w:r>
          </w:p>
        </w:tc>
        <w:tc>
          <w:tcPr>
            <w:tcW w:w="1440" w:type="dxa"/>
            <w:tcBorders>
              <w:top w:val="single" w:sz="2" w:space="0" w:color="auto"/>
              <w:left w:val="single" w:sz="2" w:space="0" w:color="auto"/>
              <w:bottom w:val="single" w:sz="2" w:space="0" w:color="auto"/>
              <w:right w:val="single" w:sz="2" w:space="0" w:color="auto"/>
            </w:tcBorders>
            <w:vAlign w:val="center"/>
          </w:tcPr>
          <w:p w14:paraId="13BA02D6" w14:textId="6F39B12E" w:rsidR="000752D7" w:rsidRPr="002F3783" w:rsidRDefault="00CB08AA" w:rsidP="000752D7">
            <w:pPr>
              <w:spacing w:line="240" w:lineRule="auto"/>
              <w:jc w:val="left"/>
              <w:rPr>
                <w:i/>
                <w:iCs/>
                <w:szCs w:val="20"/>
              </w:rPr>
            </w:pPr>
            <w:r>
              <w:rPr>
                <w:i/>
                <w:iCs/>
                <w:szCs w:val="20"/>
              </w:rPr>
              <w:t xml:space="preserve">Medical Surge </w:t>
            </w:r>
          </w:p>
        </w:tc>
        <w:tc>
          <w:tcPr>
            <w:tcW w:w="2250" w:type="dxa"/>
            <w:tcBorders>
              <w:top w:val="single" w:sz="2" w:space="0" w:color="auto"/>
              <w:left w:val="single" w:sz="2" w:space="0" w:color="auto"/>
              <w:bottom w:val="single" w:sz="2" w:space="0" w:color="auto"/>
              <w:right w:val="single" w:sz="2" w:space="0" w:color="auto"/>
            </w:tcBorders>
            <w:vAlign w:val="center"/>
          </w:tcPr>
          <w:p w14:paraId="3269F404" w14:textId="77777777" w:rsidR="002E7663" w:rsidRDefault="002E7663" w:rsidP="002E7663">
            <w:pPr>
              <w:pStyle w:val="ListParagraph"/>
              <w:numPr>
                <w:ilvl w:val="0"/>
                <w:numId w:val="14"/>
              </w:numPr>
              <w:spacing w:line="240" w:lineRule="auto"/>
              <w:jc w:val="left"/>
            </w:pPr>
            <w:r>
              <w:t xml:space="preserve">Public Information and Warning </w:t>
            </w:r>
          </w:p>
          <w:p w14:paraId="25C31CFD" w14:textId="77777777" w:rsidR="002E7663" w:rsidRDefault="002E7663" w:rsidP="002E7663">
            <w:pPr>
              <w:pStyle w:val="ListParagraph"/>
              <w:numPr>
                <w:ilvl w:val="0"/>
                <w:numId w:val="14"/>
              </w:numPr>
              <w:spacing w:line="240" w:lineRule="auto"/>
              <w:jc w:val="left"/>
            </w:pPr>
            <w:r>
              <w:t xml:space="preserve">Operational Coordination </w:t>
            </w:r>
          </w:p>
          <w:p w14:paraId="493BE017" w14:textId="77777777" w:rsidR="002E7663" w:rsidRDefault="002E7663" w:rsidP="002E7663">
            <w:pPr>
              <w:pStyle w:val="ListParagraph"/>
              <w:numPr>
                <w:ilvl w:val="0"/>
                <w:numId w:val="14"/>
              </w:numPr>
              <w:spacing w:line="240" w:lineRule="auto"/>
              <w:jc w:val="left"/>
            </w:pPr>
            <w:r>
              <w:t xml:space="preserve">Intelligence and Information Sharing </w:t>
            </w:r>
          </w:p>
          <w:p w14:paraId="1910A574" w14:textId="77777777" w:rsidR="002E7663" w:rsidRDefault="002E7663" w:rsidP="002E7663">
            <w:pPr>
              <w:pStyle w:val="ListParagraph"/>
              <w:numPr>
                <w:ilvl w:val="0"/>
                <w:numId w:val="14"/>
              </w:numPr>
              <w:spacing w:line="240" w:lineRule="auto"/>
              <w:jc w:val="left"/>
            </w:pPr>
            <w:r>
              <w:t xml:space="preserve">Community Resilience </w:t>
            </w:r>
          </w:p>
          <w:p w14:paraId="2EA8177A" w14:textId="77777777" w:rsidR="002E7663" w:rsidRDefault="002E7663" w:rsidP="002E7663">
            <w:pPr>
              <w:pStyle w:val="ListParagraph"/>
              <w:numPr>
                <w:ilvl w:val="0"/>
                <w:numId w:val="14"/>
              </w:numPr>
              <w:spacing w:line="240" w:lineRule="auto"/>
              <w:jc w:val="left"/>
            </w:pPr>
            <w:r>
              <w:t xml:space="preserve">Fatality Management Services </w:t>
            </w:r>
          </w:p>
          <w:p w14:paraId="01996FFA" w14:textId="77777777" w:rsidR="002E7663" w:rsidRDefault="002E7663" w:rsidP="002E7663">
            <w:pPr>
              <w:pStyle w:val="ListParagraph"/>
              <w:numPr>
                <w:ilvl w:val="0"/>
                <w:numId w:val="14"/>
              </w:numPr>
              <w:spacing w:line="240" w:lineRule="auto"/>
              <w:jc w:val="left"/>
            </w:pPr>
            <w:r>
              <w:t xml:space="preserve">Logistics and Supply Chain Management </w:t>
            </w:r>
          </w:p>
          <w:p w14:paraId="76697653" w14:textId="77777777" w:rsidR="002E7663" w:rsidRDefault="002E7663" w:rsidP="002E7663">
            <w:pPr>
              <w:pStyle w:val="ListParagraph"/>
              <w:numPr>
                <w:ilvl w:val="0"/>
                <w:numId w:val="14"/>
              </w:numPr>
              <w:spacing w:line="240" w:lineRule="auto"/>
              <w:jc w:val="left"/>
            </w:pPr>
            <w:r>
              <w:t xml:space="preserve">Mass Care Services </w:t>
            </w:r>
          </w:p>
          <w:p w14:paraId="46ED4A4F" w14:textId="77777777" w:rsidR="002E7663" w:rsidRDefault="002E7663" w:rsidP="002E7663">
            <w:pPr>
              <w:pStyle w:val="ListParagraph"/>
              <w:numPr>
                <w:ilvl w:val="0"/>
                <w:numId w:val="14"/>
              </w:numPr>
              <w:spacing w:line="240" w:lineRule="auto"/>
              <w:jc w:val="left"/>
            </w:pPr>
            <w:r>
              <w:t xml:space="preserve">On-scene Security, Protection, and Law Enforcement </w:t>
            </w:r>
          </w:p>
          <w:p w14:paraId="620B8AD4" w14:textId="42F0DF58" w:rsidR="000752D7" w:rsidRPr="002F3783" w:rsidRDefault="002E7663" w:rsidP="002E7663">
            <w:pPr>
              <w:pStyle w:val="ListParagraph"/>
              <w:numPr>
                <w:ilvl w:val="0"/>
                <w:numId w:val="14"/>
              </w:numPr>
              <w:spacing w:line="240" w:lineRule="auto"/>
              <w:jc w:val="left"/>
            </w:pPr>
            <w:r>
              <w:t xml:space="preserve">Public Health, Healthcare, and Emergency Medical Services </w:t>
            </w:r>
          </w:p>
        </w:tc>
        <w:tc>
          <w:tcPr>
            <w:tcW w:w="1800" w:type="dxa"/>
            <w:tcBorders>
              <w:top w:val="single" w:sz="2" w:space="0" w:color="auto"/>
              <w:left w:val="single" w:sz="2" w:space="0" w:color="auto"/>
              <w:bottom w:val="single" w:sz="2" w:space="0" w:color="auto"/>
              <w:right w:val="single" w:sz="2" w:space="0" w:color="auto"/>
            </w:tcBorders>
            <w:vAlign w:val="center"/>
          </w:tcPr>
          <w:p w14:paraId="6FD9E4F8" w14:textId="3251EFA6" w:rsidR="000752D7" w:rsidRPr="002F3783" w:rsidRDefault="002F3783" w:rsidP="000752D7">
            <w:pPr>
              <w:jc w:val="left"/>
              <w:rPr>
                <w:b/>
                <w:szCs w:val="20"/>
              </w:rPr>
            </w:pPr>
            <w:r w:rsidRPr="002F3783">
              <w:rPr>
                <w:b/>
                <w:szCs w:val="20"/>
              </w:rPr>
              <w:t xml:space="preserve">Chemical fire </w:t>
            </w:r>
          </w:p>
        </w:tc>
        <w:tc>
          <w:tcPr>
            <w:tcW w:w="2250" w:type="dxa"/>
            <w:tcBorders>
              <w:top w:val="single" w:sz="2" w:space="0" w:color="auto"/>
              <w:left w:val="single" w:sz="2" w:space="0" w:color="auto"/>
              <w:bottom w:val="single" w:sz="2" w:space="0" w:color="auto"/>
              <w:right w:val="single" w:sz="2" w:space="0" w:color="auto"/>
            </w:tcBorders>
            <w:vAlign w:val="center"/>
          </w:tcPr>
          <w:p w14:paraId="7339C64D" w14:textId="77777777" w:rsidR="002F3783" w:rsidRPr="002F3783" w:rsidRDefault="002F3783" w:rsidP="002F3783">
            <w:pPr>
              <w:pStyle w:val="ListParagraph"/>
              <w:numPr>
                <w:ilvl w:val="0"/>
                <w:numId w:val="15"/>
              </w:numPr>
              <w:jc w:val="left"/>
            </w:pPr>
            <w:r w:rsidRPr="002F3783">
              <w:t xml:space="preserve">Burn Surge </w:t>
            </w:r>
          </w:p>
          <w:p w14:paraId="1531E4E6" w14:textId="0A796D04" w:rsidR="000752D7" w:rsidRPr="002F3783" w:rsidRDefault="002F3783" w:rsidP="002F3783">
            <w:pPr>
              <w:pStyle w:val="ListParagraph"/>
              <w:numPr>
                <w:ilvl w:val="0"/>
                <w:numId w:val="15"/>
              </w:numPr>
              <w:jc w:val="left"/>
            </w:pPr>
            <w:r w:rsidRPr="002F3783">
              <w:t>Pediatric Surge</w:t>
            </w:r>
          </w:p>
        </w:tc>
        <w:tc>
          <w:tcPr>
            <w:tcW w:w="1260" w:type="dxa"/>
            <w:tcBorders>
              <w:top w:val="single" w:sz="2" w:space="0" w:color="auto"/>
              <w:left w:val="single" w:sz="2" w:space="0" w:color="auto"/>
              <w:bottom w:val="single" w:sz="2" w:space="0" w:color="auto"/>
              <w:right w:val="single" w:sz="2" w:space="0" w:color="auto"/>
            </w:tcBorders>
            <w:vAlign w:val="center"/>
          </w:tcPr>
          <w:p w14:paraId="36270720" w14:textId="1ADC67D2" w:rsidR="000752D7" w:rsidRPr="002F3783" w:rsidRDefault="002F3783" w:rsidP="000752D7">
            <w:pPr>
              <w:jc w:val="left"/>
              <w:rPr>
                <w:rFonts w:eastAsiaTheme="majorEastAsia" w:cs="Arial"/>
                <w:b/>
                <w:bCs/>
                <w:szCs w:val="20"/>
              </w:rPr>
            </w:pPr>
            <w:r w:rsidRPr="002F3783">
              <w:rPr>
                <w:rFonts w:eastAsiaTheme="majorEastAsia" w:cs="Arial"/>
                <w:b/>
                <w:bCs/>
                <w:szCs w:val="20"/>
              </w:rPr>
              <w:t>Region IV</w:t>
            </w:r>
          </w:p>
        </w:tc>
      </w:tr>
      <w:tr w:rsidR="000752D7" w:rsidRPr="00AB3BD2" w14:paraId="319454CA" w14:textId="77777777" w:rsidTr="0009612C">
        <w:trPr>
          <w:cantSplit/>
          <w:trHeight w:val="1021"/>
        </w:trPr>
        <w:tc>
          <w:tcPr>
            <w:tcW w:w="1080" w:type="dxa"/>
            <w:tcBorders>
              <w:top w:val="single" w:sz="2" w:space="0" w:color="auto"/>
              <w:left w:val="single" w:sz="2" w:space="0" w:color="auto"/>
              <w:bottom w:val="single" w:sz="2" w:space="0" w:color="auto"/>
              <w:right w:val="single" w:sz="2" w:space="0" w:color="auto"/>
            </w:tcBorders>
            <w:vAlign w:val="center"/>
          </w:tcPr>
          <w:p w14:paraId="78C978DF" w14:textId="760E1103" w:rsidR="000752D7" w:rsidRPr="009B0B79" w:rsidRDefault="000752D7" w:rsidP="000752D7">
            <w:pPr>
              <w:jc w:val="left"/>
              <w:rPr>
                <w:b/>
                <w:szCs w:val="20"/>
              </w:rPr>
            </w:pPr>
            <w:r>
              <w:rPr>
                <w:b/>
                <w:szCs w:val="20"/>
              </w:rPr>
              <w:t>2025</w:t>
            </w:r>
          </w:p>
        </w:tc>
        <w:tc>
          <w:tcPr>
            <w:tcW w:w="2340" w:type="dxa"/>
            <w:tcBorders>
              <w:top w:val="single" w:sz="2" w:space="0" w:color="auto"/>
              <w:left w:val="single" w:sz="2" w:space="0" w:color="auto"/>
              <w:bottom w:val="single" w:sz="2" w:space="0" w:color="auto"/>
              <w:right w:val="single" w:sz="2" w:space="0" w:color="auto"/>
            </w:tcBorders>
            <w:vAlign w:val="center"/>
          </w:tcPr>
          <w:p w14:paraId="642EF966" w14:textId="5DD10791" w:rsidR="000752D7" w:rsidRPr="009B0B79" w:rsidRDefault="00D329FB" w:rsidP="000752D7">
            <w:pPr>
              <w:pStyle w:val="ListParagraph"/>
              <w:numPr>
                <w:ilvl w:val="0"/>
                <w:numId w:val="15"/>
              </w:numPr>
              <w:spacing w:line="240" w:lineRule="auto"/>
              <w:jc w:val="left"/>
            </w:pPr>
            <w:r>
              <w:t>TBD</w:t>
            </w:r>
          </w:p>
        </w:tc>
        <w:tc>
          <w:tcPr>
            <w:tcW w:w="1620" w:type="dxa"/>
            <w:tcBorders>
              <w:top w:val="single" w:sz="2" w:space="0" w:color="auto"/>
              <w:left w:val="single" w:sz="2" w:space="0" w:color="auto"/>
              <w:bottom w:val="single" w:sz="2" w:space="0" w:color="auto"/>
              <w:right w:val="single" w:sz="2" w:space="0" w:color="auto"/>
            </w:tcBorders>
            <w:vAlign w:val="center"/>
          </w:tcPr>
          <w:p w14:paraId="79229797" w14:textId="1D1973F3" w:rsidR="000752D7" w:rsidRPr="009B0B79" w:rsidRDefault="00D329FB" w:rsidP="000752D7">
            <w:pPr>
              <w:pStyle w:val="ListParagraph"/>
              <w:numPr>
                <w:ilvl w:val="0"/>
                <w:numId w:val="15"/>
              </w:numPr>
              <w:spacing w:line="240" w:lineRule="auto"/>
              <w:jc w:val="left"/>
            </w:pPr>
            <w:r>
              <w:t>TBD</w:t>
            </w:r>
          </w:p>
        </w:tc>
        <w:tc>
          <w:tcPr>
            <w:tcW w:w="1440" w:type="dxa"/>
            <w:tcBorders>
              <w:top w:val="single" w:sz="2" w:space="0" w:color="auto"/>
              <w:left w:val="single" w:sz="2" w:space="0" w:color="auto"/>
              <w:bottom w:val="single" w:sz="2" w:space="0" w:color="auto"/>
              <w:right w:val="single" w:sz="2" w:space="0" w:color="auto"/>
            </w:tcBorders>
            <w:vAlign w:val="center"/>
          </w:tcPr>
          <w:p w14:paraId="308DAFF2" w14:textId="4C0E7C65" w:rsidR="000752D7" w:rsidRPr="009B0B79" w:rsidRDefault="00CB08AA" w:rsidP="000752D7">
            <w:pPr>
              <w:jc w:val="left"/>
              <w:rPr>
                <w:i/>
                <w:iCs/>
                <w:szCs w:val="20"/>
              </w:rPr>
            </w:pPr>
            <w:r>
              <w:rPr>
                <w:i/>
                <w:iCs/>
                <w:szCs w:val="20"/>
              </w:rPr>
              <w:t>Medical Surge</w:t>
            </w:r>
          </w:p>
        </w:tc>
        <w:tc>
          <w:tcPr>
            <w:tcW w:w="2250" w:type="dxa"/>
            <w:tcBorders>
              <w:top w:val="single" w:sz="2" w:space="0" w:color="auto"/>
              <w:left w:val="single" w:sz="2" w:space="0" w:color="auto"/>
              <w:bottom w:val="single" w:sz="2" w:space="0" w:color="auto"/>
              <w:right w:val="single" w:sz="2" w:space="0" w:color="auto"/>
            </w:tcBorders>
            <w:vAlign w:val="center"/>
          </w:tcPr>
          <w:p w14:paraId="3F1E7E62" w14:textId="259F704B" w:rsidR="000752D7" w:rsidRPr="009B0B79" w:rsidRDefault="00D329FB" w:rsidP="000752D7">
            <w:pPr>
              <w:pStyle w:val="ListParagraph"/>
              <w:numPr>
                <w:ilvl w:val="0"/>
                <w:numId w:val="15"/>
              </w:numPr>
              <w:spacing w:line="240" w:lineRule="auto"/>
              <w:jc w:val="left"/>
            </w:pPr>
            <w:r>
              <w:t>TBD</w:t>
            </w:r>
          </w:p>
        </w:tc>
        <w:tc>
          <w:tcPr>
            <w:tcW w:w="1800" w:type="dxa"/>
            <w:tcBorders>
              <w:top w:val="single" w:sz="2" w:space="0" w:color="auto"/>
              <w:left w:val="single" w:sz="2" w:space="0" w:color="auto"/>
              <w:bottom w:val="single" w:sz="2" w:space="0" w:color="auto"/>
              <w:right w:val="single" w:sz="2" w:space="0" w:color="auto"/>
            </w:tcBorders>
            <w:vAlign w:val="center"/>
          </w:tcPr>
          <w:p w14:paraId="0FE33944" w14:textId="20DA3D44" w:rsidR="000752D7" w:rsidRPr="009B0B79" w:rsidRDefault="002F3783" w:rsidP="000752D7">
            <w:pPr>
              <w:jc w:val="left"/>
              <w:rPr>
                <w:b/>
                <w:szCs w:val="20"/>
              </w:rPr>
            </w:pPr>
            <w:r w:rsidRPr="002F3783">
              <w:rPr>
                <w:b/>
                <w:szCs w:val="20"/>
              </w:rPr>
              <w:t xml:space="preserve">Domestic </w:t>
            </w:r>
            <w:r>
              <w:rPr>
                <w:b/>
                <w:szCs w:val="20"/>
              </w:rPr>
              <w:t>T</w:t>
            </w:r>
            <w:r w:rsidRPr="002F3783">
              <w:rPr>
                <w:b/>
                <w:szCs w:val="20"/>
              </w:rPr>
              <w:t xml:space="preserve">error </w:t>
            </w:r>
          </w:p>
        </w:tc>
        <w:tc>
          <w:tcPr>
            <w:tcW w:w="2250" w:type="dxa"/>
            <w:tcBorders>
              <w:top w:val="single" w:sz="2" w:space="0" w:color="auto"/>
              <w:left w:val="single" w:sz="2" w:space="0" w:color="auto"/>
              <w:bottom w:val="single" w:sz="2" w:space="0" w:color="auto"/>
              <w:right w:val="single" w:sz="2" w:space="0" w:color="auto"/>
            </w:tcBorders>
            <w:vAlign w:val="center"/>
          </w:tcPr>
          <w:p w14:paraId="1B189A01" w14:textId="27A53FB3" w:rsidR="000752D7" w:rsidRPr="009B0B79" w:rsidRDefault="002F3783" w:rsidP="000752D7">
            <w:pPr>
              <w:pStyle w:val="ListParagraph"/>
              <w:numPr>
                <w:ilvl w:val="0"/>
                <w:numId w:val="27"/>
              </w:numPr>
              <w:spacing w:line="240" w:lineRule="auto"/>
              <w:jc w:val="left"/>
            </w:pPr>
            <w:r>
              <w:t>W</w:t>
            </w:r>
            <w:r w:rsidRPr="002F3783">
              <w:t>ater contamination</w:t>
            </w:r>
          </w:p>
        </w:tc>
        <w:tc>
          <w:tcPr>
            <w:tcW w:w="1260" w:type="dxa"/>
            <w:tcBorders>
              <w:top w:val="single" w:sz="2" w:space="0" w:color="auto"/>
              <w:left w:val="single" w:sz="2" w:space="0" w:color="auto"/>
              <w:bottom w:val="single" w:sz="2" w:space="0" w:color="auto"/>
              <w:right w:val="single" w:sz="2" w:space="0" w:color="auto"/>
            </w:tcBorders>
            <w:vAlign w:val="center"/>
          </w:tcPr>
          <w:p w14:paraId="19D8E9F6" w14:textId="027934A0" w:rsidR="000752D7" w:rsidRPr="009B0B79" w:rsidRDefault="00D329FB" w:rsidP="000752D7">
            <w:pPr>
              <w:ind w:hanging="23"/>
              <w:jc w:val="left"/>
              <w:rPr>
                <w:szCs w:val="20"/>
              </w:rPr>
            </w:pPr>
            <w:r>
              <w:rPr>
                <w:szCs w:val="20"/>
              </w:rPr>
              <w:t>TBD</w:t>
            </w:r>
          </w:p>
        </w:tc>
      </w:tr>
      <w:tr w:rsidR="000752D7" w:rsidRPr="00AB3BD2" w14:paraId="53BE9EB3" w14:textId="77777777" w:rsidTr="0009612C">
        <w:trPr>
          <w:cantSplit/>
          <w:trHeight w:val="1075"/>
        </w:trPr>
        <w:tc>
          <w:tcPr>
            <w:tcW w:w="1080" w:type="dxa"/>
            <w:tcBorders>
              <w:top w:val="single" w:sz="2" w:space="0" w:color="auto"/>
              <w:left w:val="single" w:sz="2" w:space="0" w:color="auto"/>
              <w:bottom w:val="single" w:sz="2" w:space="0" w:color="auto"/>
              <w:right w:val="single" w:sz="2" w:space="0" w:color="auto"/>
            </w:tcBorders>
            <w:vAlign w:val="center"/>
          </w:tcPr>
          <w:p w14:paraId="107E35CE" w14:textId="49269C73" w:rsidR="000752D7" w:rsidRPr="009B0B79" w:rsidRDefault="000752D7" w:rsidP="000752D7">
            <w:pPr>
              <w:jc w:val="left"/>
              <w:rPr>
                <w:b/>
                <w:szCs w:val="20"/>
              </w:rPr>
            </w:pPr>
            <w:r>
              <w:rPr>
                <w:b/>
                <w:szCs w:val="20"/>
              </w:rPr>
              <w:lastRenderedPageBreak/>
              <w:t>2026</w:t>
            </w:r>
          </w:p>
        </w:tc>
        <w:tc>
          <w:tcPr>
            <w:tcW w:w="2340" w:type="dxa"/>
            <w:tcBorders>
              <w:top w:val="single" w:sz="2" w:space="0" w:color="auto"/>
              <w:left w:val="single" w:sz="2" w:space="0" w:color="auto"/>
              <w:bottom w:val="single" w:sz="2" w:space="0" w:color="auto"/>
              <w:right w:val="single" w:sz="2" w:space="0" w:color="auto"/>
            </w:tcBorders>
            <w:vAlign w:val="center"/>
          </w:tcPr>
          <w:p w14:paraId="54E2CD51" w14:textId="0B6F57F8" w:rsidR="000752D7" w:rsidRPr="009B0B79" w:rsidRDefault="00D329FB" w:rsidP="000752D7">
            <w:pPr>
              <w:pStyle w:val="ListParagraph"/>
              <w:numPr>
                <w:ilvl w:val="0"/>
                <w:numId w:val="28"/>
              </w:numPr>
              <w:spacing w:line="240" w:lineRule="auto"/>
              <w:jc w:val="left"/>
            </w:pPr>
            <w:r>
              <w:t>TBD</w:t>
            </w:r>
          </w:p>
        </w:tc>
        <w:tc>
          <w:tcPr>
            <w:tcW w:w="1620" w:type="dxa"/>
            <w:tcBorders>
              <w:top w:val="single" w:sz="2" w:space="0" w:color="auto"/>
              <w:left w:val="single" w:sz="2" w:space="0" w:color="auto"/>
              <w:bottom w:val="single" w:sz="2" w:space="0" w:color="auto"/>
              <w:right w:val="single" w:sz="2" w:space="0" w:color="auto"/>
            </w:tcBorders>
            <w:vAlign w:val="center"/>
          </w:tcPr>
          <w:p w14:paraId="1BEB8015" w14:textId="073D2846" w:rsidR="000752D7" w:rsidRPr="009B0B79" w:rsidRDefault="00D329FB" w:rsidP="000752D7">
            <w:pPr>
              <w:pStyle w:val="ListParagraph"/>
              <w:numPr>
                <w:ilvl w:val="0"/>
                <w:numId w:val="28"/>
              </w:numPr>
              <w:spacing w:line="240" w:lineRule="auto"/>
              <w:jc w:val="left"/>
            </w:pPr>
            <w:r>
              <w:t>TBD</w:t>
            </w:r>
          </w:p>
        </w:tc>
        <w:tc>
          <w:tcPr>
            <w:tcW w:w="1440" w:type="dxa"/>
            <w:tcBorders>
              <w:top w:val="single" w:sz="2" w:space="0" w:color="auto"/>
              <w:left w:val="single" w:sz="2" w:space="0" w:color="auto"/>
              <w:bottom w:val="single" w:sz="2" w:space="0" w:color="auto"/>
              <w:right w:val="single" w:sz="2" w:space="0" w:color="auto"/>
            </w:tcBorders>
            <w:vAlign w:val="center"/>
          </w:tcPr>
          <w:p w14:paraId="11BDA268" w14:textId="2FFAF197" w:rsidR="000752D7" w:rsidRPr="009B0B79" w:rsidRDefault="00CB08AA" w:rsidP="000752D7">
            <w:pPr>
              <w:jc w:val="left"/>
              <w:rPr>
                <w:i/>
                <w:iCs/>
                <w:szCs w:val="20"/>
              </w:rPr>
            </w:pPr>
            <w:r>
              <w:rPr>
                <w:i/>
                <w:iCs/>
                <w:szCs w:val="20"/>
              </w:rPr>
              <w:t xml:space="preserve">Medical Surge </w:t>
            </w:r>
          </w:p>
        </w:tc>
        <w:tc>
          <w:tcPr>
            <w:tcW w:w="2250" w:type="dxa"/>
            <w:tcBorders>
              <w:top w:val="single" w:sz="2" w:space="0" w:color="auto"/>
              <w:left w:val="single" w:sz="2" w:space="0" w:color="auto"/>
              <w:bottom w:val="single" w:sz="2" w:space="0" w:color="auto"/>
              <w:right w:val="single" w:sz="2" w:space="0" w:color="auto"/>
            </w:tcBorders>
            <w:vAlign w:val="center"/>
          </w:tcPr>
          <w:p w14:paraId="349D6F6F" w14:textId="111D8791" w:rsidR="000752D7" w:rsidRPr="009B0B79" w:rsidRDefault="00D329FB" w:rsidP="000752D7">
            <w:pPr>
              <w:pStyle w:val="ListParagraph"/>
              <w:numPr>
                <w:ilvl w:val="0"/>
                <w:numId w:val="28"/>
              </w:numPr>
              <w:spacing w:line="240" w:lineRule="auto"/>
              <w:jc w:val="left"/>
            </w:pPr>
            <w:r>
              <w:t>TBD</w:t>
            </w:r>
          </w:p>
        </w:tc>
        <w:tc>
          <w:tcPr>
            <w:tcW w:w="1800" w:type="dxa"/>
            <w:tcBorders>
              <w:top w:val="single" w:sz="2" w:space="0" w:color="auto"/>
              <w:left w:val="single" w:sz="2" w:space="0" w:color="auto"/>
              <w:bottom w:val="single" w:sz="2" w:space="0" w:color="auto"/>
              <w:right w:val="single" w:sz="2" w:space="0" w:color="auto"/>
            </w:tcBorders>
            <w:vAlign w:val="center"/>
          </w:tcPr>
          <w:p w14:paraId="16C8CBF2" w14:textId="7E22B13A" w:rsidR="000752D7" w:rsidRPr="009B0B79" w:rsidRDefault="002F3783" w:rsidP="000752D7">
            <w:pPr>
              <w:ind w:left="-14"/>
              <w:jc w:val="left"/>
              <w:rPr>
                <w:b/>
                <w:szCs w:val="20"/>
              </w:rPr>
            </w:pPr>
            <w:r>
              <w:rPr>
                <w:b/>
                <w:szCs w:val="20"/>
              </w:rPr>
              <w:t xml:space="preserve">Cyber Event </w:t>
            </w:r>
          </w:p>
        </w:tc>
        <w:tc>
          <w:tcPr>
            <w:tcW w:w="2250" w:type="dxa"/>
            <w:tcBorders>
              <w:top w:val="single" w:sz="2" w:space="0" w:color="auto"/>
              <w:left w:val="single" w:sz="2" w:space="0" w:color="auto"/>
              <w:bottom w:val="single" w:sz="2" w:space="0" w:color="auto"/>
              <w:right w:val="single" w:sz="2" w:space="0" w:color="auto"/>
            </w:tcBorders>
            <w:vAlign w:val="center"/>
          </w:tcPr>
          <w:p w14:paraId="3044B57E" w14:textId="0D72E068" w:rsidR="000752D7" w:rsidRPr="009B0B79" w:rsidRDefault="00D329FB" w:rsidP="000752D7">
            <w:pPr>
              <w:pStyle w:val="ListParagraph"/>
              <w:numPr>
                <w:ilvl w:val="0"/>
                <w:numId w:val="29"/>
              </w:numPr>
              <w:spacing w:line="240" w:lineRule="auto"/>
              <w:jc w:val="left"/>
            </w:pPr>
            <w:r>
              <w:t>N/A</w:t>
            </w:r>
          </w:p>
        </w:tc>
        <w:tc>
          <w:tcPr>
            <w:tcW w:w="1260" w:type="dxa"/>
            <w:tcBorders>
              <w:top w:val="single" w:sz="2" w:space="0" w:color="auto"/>
              <w:left w:val="single" w:sz="2" w:space="0" w:color="auto"/>
              <w:bottom w:val="single" w:sz="2" w:space="0" w:color="auto"/>
              <w:right w:val="single" w:sz="2" w:space="0" w:color="auto"/>
            </w:tcBorders>
            <w:vAlign w:val="center"/>
          </w:tcPr>
          <w:p w14:paraId="56F36D8D" w14:textId="625E8090" w:rsidR="000752D7" w:rsidRPr="009B0B79" w:rsidRDefault="00D329FB" w:rsidP="000752D7">
            <w:pPr>
              <w:ind w:hanging="23"/>
              <w:jc w:val="left"/>
              <w:rPr>
                <w:szCs w:val="20"/>
              </w:rPr>
            </w:pPr>
            <w:r>
              <w:rPr>
                <w:szCs w:val="20"/>
              </w:rPr>
              <w:t>TBD</w:t>
            </w:r>
          </w:p>
        </w:tc>
      </w:tr>
      <w:tr w:rsidR="000752D7" w:rsidRPr="00AB3BD2" w14:paraId="6305D6D0" w14:textId="77777777" w:rsidTr="0009612C">
        <w:trPr>
          <w:cantSplit/>
          <w:trHeight w:val="886"/>
        </w:trPr>
        <w:tc>
          <w:tcPr>
            <w:tcW w:w="1080" w:type="dxa"/>
            <w:tcBorders>
              <w:top w:val="single" w:sz="2" w:space="0" w:color="auto"/>
              <w:left w:val="single" w:sz="2" w:space="0" w:color="auto"/>
              <w:bottom w:val="single" w:sz="2" w:space="0" w:color="auto"/>
              <w:right w:val="single" w:sz="2" w:space="0" w:color="auto"/>
            </w:tcBorders>
            <w:vAlign w:val="center"/>
          </w:tcPr>
          <w:p w14:paraId="2574A570" w14:textId="74BFA65E" w:rsidR="000752D7" w:rsidRPr="009B0B79" w:rsidRDefault="000752D7" w:rsidP="000752D7">
            <w:pPr>
              <w:jc w:val="left"/>
              <w:rPr>
                <w:rFonts w:cs="Arial"/>
                <w:b/>
                <w:szCs w:val="20"/>
              </w:rPr>
            </w:pPr>
            <w:r>
              <w:rPr>
                <w:rFonts w:cs="Arial"/>
                <w:b/>
                <w:szCs w:val="20"/>
              </w:rPr>
              <w:t>2027</w:t>
            </w:r>
          </w:p>
        </w:tc>
        <w:tc>
          <w:tcPr>
            <w:tcW w:w="2340" w:type="dxa"/>
            <w:tcBorders>
              <w:top w:val="single" w:sz="2" w:space="0" w:color="auto"/>
              <w:left w:val="single" w:sz="2" w:space="0" w:color="auto"/>
              <w:bottom w:val="single" w:sz="2" w:space="0" w:color="auto"/>
              <w:right w:val="single" w:sz="2" w:space="0" w:color="auto"/>
            </w:tcBorders>
            <w:vAlign w:val="center"/>
          </w:tcPr>
          <w:p w14:paraId="06FB91BB" w14:textId="49B0A6BA" w:rsidR="000752D7" w:rsidRPr="009B0B79" w:rsidRDefault="00D329FB" w:rsidP="000752D7">
            <w:pPr>
              <w:pStyle w:val="ListParagraph"/>
              <w:numPr>
                <w:ilvl w:val="0"/>
                <w:numId w:val="31"/>
              </w:numPr>
              <w:spacing w:line="240" w:lineRule="auto"/>
              <w:jc w:val="left"/>
            </w:pPr>
            <w:r>
              <w:t>TBD</w:t>
            </w:r>
          </w:p>
        </w:tc>
        <w:tc>
          <w:tcPr>
            <w:tcW w:w="1620" w:type="dxa"/>
            <w:tcBorders>
              <w:top w:val="single" w:sz="2" w:space="0" w:color="auto"/>
              <w:left w:val="single" w:sz="2" w:space="0" w:color="auto"/>
              <w:bottom w:val="single" w:sz="2" w:space="0" w:color="auto"/>
              <w:right w:val="single" w:sz="2" w:space="0" w:color="auto"/>
            </w:tcBorders>
            <w:vAlign w:val="center"/>
          </w:tcPr>
          <w:p w14:paraId="7C1276D1" w14:textId="67525E32" w:rsidR="000752D7" w:rsidRPr="009B0B79" w:rsidRDefault="00D329FB" w:rsidP="000752D7">
            <w:pPr>
              <w:pStyle w:val="ListParagraph"/>
              <w:numPr>
                <w:ilvl w:val="0"/>
                <w:numId w:val="31"/>
              </w:numPr>
              <w:spacing w:line="240" w:lineRule="auto"/>
              <w:jc w:val="left"/>
            </w:pPr>
            <w:r>
              <w:t>TBD</w:t>
            </w:r>
          </w:p>
        </w:tc>
        <w:tc>
          <w:tcPr>
            <w:tcW w:w="1440" w:type="dxa"/>
            <w:tcBorders>
              <w:top w:val="single" w:sz="2" w:space="0" w:color="auto"/>
              <w:left w:val="single" w:sz="2" w:space="0" w:color="auto"/>
              <w:bottom w:val="single" w:sz="2" w:space="0" w:color="auto"/>
              <w:right w:val="single" w:sz="2" w:space="0" w:color="auto"/>
            </w:tcBorders>
            <w:vAlign w:val="center"/>
          </w:tcPr>
          <w:p w14:paraId="76C50936" w14:textId="58F634A3" w:rsidR="000752D7" w:rsidRPr="009B0B79" w:rsidRDefault="00CB08AA" w:rsidP="000752D7">
            <w:pPr>
              <w:jc w:val="left"/>
              <w:rPr>
                <w:i/>
                <w:iCs/>
                <w:szCs w:val="20"/>
              </w:rPr>
            </w:pPr>
            <w:r>
              <w:rPr>
                <w:i/>
                <w:iCs/>
                <w:szCs w:val="20"/>
              </w:rPr>
              <w:t xml:space="preserve">Medical Surge </w:t>
            </w:r>
          </w:p>
        </w:tc>
        <w:tc>
          <w:tcPr>
            <w:tcW w:w="2250" w:type="dxa"/>
            <w:tcBorders>
              <w:top w:val="single" w:sz="2" w:space="0" w:color="auto"/>
              <w:left w:val="single" w:sz="2" w:space="0" w:color="auto"/>
              <w:bottom w:val="single" w:sz="2" w:space="0" w:color="auto"/>
              <w:right w:val="single" w:sz="2" w:space="0" w:color="auto"/>
            </w:tcBorders>
            <w:vAlign w:val="center"/>
          </w:tcPr>
          <w:p w14:paraId="6B651F7E" w14:textId="46E7D813" w:rsidR="000752D7" w:rsidRPr="002F3783" w:rsidRDefault="00D329FB" w:rsidP="002F3783">
            <w:pPr>
              <w:pStyle w:val="ListParagraph"/>
              <w:numPr>
                <w:ilvl w:val="0"/>
                <w:numId w:val="36"/>
              </w:numPr>
              <w:jc w:val="left"/>
            </w:pPr>
            <w:r>
              <w:t>TBD</w:t>
            </w:r>
          </w:p>
        </w:tc>
        <w:tc>
          <w:tcPr>
            <w:tcW w:w="1800" w:type="dxa"/>
            <w:tcBorders>
              <w:top w:val="single" w:sz="2" w:space="0" w:color="auto"/>
              <w:left w:val="single" w:sz="2" w:space="0" w:color="auto"/>
              <w:bottom w:val="single" w:sz="2" w:space="0" w:color="auto"/>
              <w:right w:val="single" w:sz="2" w:space="0" w:color="auto"/>
            </w:tcBorders>
            <w:vAlign w:val="center"/>
          </w:tcPr>
          <w:p w14:paraId="21761073" w14:textId="47289C75" w:rsidR="000752D7" w:rsidRPr="009B0B79" w:rsidRDefault="002F3783" w:rsidP="000752D7">
            <w:pPr>
              <w:ind w:left="-14"/>
              <w:jc w:val="left"/>
              <w:rPr>
                <w:b/>
                <w:szCs w:val="20"/>
              </w:rPr>
            </w:pPr>
            <w:r w:rsidRPr="002F3783">
              <w:rPr>
                <w:b/>
                <w:szCs w:val="20"/>
              </w:rPr>
              <w:t xml:space="preserve">Electromagnetic Pulse (EMP) </w:t>
            </w:r>
          </w:p>
        </w:tc>
        <w:tc>
          <w:tcPr>
            <w:tcW w:w="2250" w:type="dxa"/>
            <w:tcBorders>
              <w:top w:val="single" w:sz="2" w:space="0" w:color="auto"/>
              <w:left w:val="single" w:sz="2" w:space="0" w:color="auto"/>
              <w:bottom w:val="single" w:sz="2" w:space="0" w:color="auto"/>
              <w:right w:val="single" w:sz="2" w:space="0" w:color="auto"/>
            </w:tcBorders>
            <w:vAlign w:val="center"/>
          </w:tcPr>
          <w:p w14:paraId="4961C001" w14:textId="505E7D1B" w:rsidR="000752D7" w:rsidRPr="009B0B79" w:rsidRDefault="00D329FB" w:rsidP="000752D7">
            <w:pPr>
              <w:pStyle w:val="ListParagraph"/>
              <w:numPr>
                <w:ilvl w:val="0"/>
                <w:numId w:val="32"/>
              </w:numPr>
              <w:spacing w:line="240" w:lineRule="auto"/>
              <w:jc w:val="left"/>
            </w:pPr>
            <w:r>
              <w:t>N/A</w:t>
            </w:r>
          </w:p>
        </w:tc>
        <w:tc>
          <w:tcPr>
            <w:tcW w:w="1260" w:type="dxa"/>
            <w:tcBorders>
              <w:top w:val="single" w:sz="2" w:space="0" w:color="auto"/>
              <w:left w:val="single" w:sz="2" w:space="0" w:color="auto"/>
              <w:bottom w:val="single" w:sz="2" w:space="0" w:color="auto"/>
              <w:right w:val="single" w:sz="2" w:space="0" w:color="auto"/>
            </w:tcBorders>
            <w:vAlign w:val="center"/>
          </w:tcPr>
          <w:p w14:paraId="460FB0FE" w14:textId="07E88FD4" w:rsidR="000752D7" w:rsidRPr="009B0B79" w:rsidRDefault="00D329FB" w:rsidP="000752D7">
            <w:pPr>
              <w:ind w:hanging="23"/>
              <w:jc w:val="left"/>
              <w:rPr>
                <w:szCs w:val="20"/>
              </w:rPr>
            </w:pPr>
            <w:r>
              <w:rPr>
                <w:szCs w:val="20"/>
              </w:rPr>
              <w:t>TBD</w:t>
            </w:r>
          </w:p>
        </w:tc>
      </w:tr>
      <w:tr w:rsidR="002F3783" w:rsidRPr="00AB3BD2" w14:paraId="25F35CE2" w14:textId="77777777" w:rsidTr="0009612C">
        <w:trPr>
          <w:cantSplit/>
          <w:trHeight w:val="886"/>
        </w:trPr>
        <w:tc>
          <w:tcPr>
            <w:tcW w:w="1080" w:type="dxa"/>
            <w:tcBorders>
              <w:top w:val="single" w:sz="2" w:space="0" w:color="auto"/>
              <w:left w:val="single" w:sz="2" w:space="0" w:color="auto"/>
              <w:bottom w:val="single" w:sz="2" w:space="0" w:color="auto"/>
              <w:right w:val="single" w:sz="2" w:space="0" w:color="auto"/>
            </w:tcBorders>
            <w:vAlign w:val="center"/>
          </w:tcPr>
          <w:p w14:paraId="6D8C2015" w14:textId="32674784" w:rsidR="002F3783" w:rsidRDefault="002F3783" w:rsidP="000752D7">
            <w:pPr>
              <w:jc w:val="left"/>
              <w:rPr>
                <w:rFonts w:cs="Arial"/>
                <w:b/>
                <w:szCs w:val="20"/>
              </w:rPr>
            </w:pPr>
            <w:r>
              <w:rPr>
                <w:rFonts w:cs="Arial"/>
                <w:b/>
                <w:szCs w:val="20"/>
              </w:rPr>
              <w:t>2028</w:t>
            </w:r>
          </w:p>
        </w:tc>
        <w:tc>
          <w:tcPr>
            <w:tcW w:w="2340" w:type="dxa"/>
            <w:tcBorders>
              <w:top w:val="single" w:sz="2" w:space="0" w:color="auto"/>
              <w:left w:val="single" w:sz="2" w:space="0" w:color="auto"/>
              <w:bottom w:val="single" w:sz="2" w:space="0" w:color="auto"/>
              <w:right w:val="single" w:sz="2" w:space="0" w:color="auto"/>
            </w:tcBorders>
            <w:vAlign w:val="center"/>
          </w:tcPr>
          <w:p w14:paraId="33B7C9E1" w14:textId="13136A43" w:rsidR="002F3783" w:rsidRPr="009B0B79" w:rsidRDefault="00D329FB" w:rsidP="000752D7">
            <w:pPr>
              <w:pStyle w:val="ListParagraph"/>
              <w:numPr>
                <w:ilvl w:val="0"/>
                <w:numId w:val="31"/>
              </w:numPr>
              <w:spacing w:line="240" w:lineRule="auto"/>
              <w:jc w:val="left"/>
            </w:pPr>
            <w:r>
              <w:t>TBD</w:t>
            </w:r>
          </w:p>
        </w:tc>
        <w:tc>
          <w:tcPr>
            <w:tcW w:w="1620" w:type="dxa"/>
            <w:tcBorders>
              <w:top w:val="single" w:sz="2" w:space="0" w:color="auto"/>
              <w:left w:val="single" w:sz="2" w:space="0" w:color="auto"/>
              <w:bottom w:val="single" w:sz="2" w:space="0" w:color="auto"/>
              <w:right w:val="single" w:sz="2" w:space="0" w:color="auto"/>
            </w:tcBorders>
            <w:vAlign w:val="center"/>
          </w:tcPr>
          <w:p w14:paraId="2CC88725" w14:textId="2E07B2B1" w:rsidR="002F3783" w:rsidRPr="009B0B79" w:rsidRDefault="00D329FB" w:rsidP="000752D7">
            <w:pPr>
              <w:pStyle w:val="ListParagraph"/>
              <w:numPr>
                <w:ilvl w:val="0"/>
                <w:numId w:val="31"/>
              </w:numPr>
              <w:spacing w:line="240" w:lineRule="auto"/>
              <w:jc w:val="left"/>
            </w:pPr>
            <w:r>
              <w:t>TBD</w:t>
            </w:r>
          </w:p>
        </w:tc>
        <w:tc>
          <w:tcPr>
            <w:tcW w:w="1440" w:type="dxa"/>
            <w:tcBorders>
              <w:top w:val="single" w:sz="2" w:space="0" w:color="auto"/>
              <w:left w:val="single" w:sz="2" w:space="0" w:color="auto"/>
              <w:bottom w:val="single" w:sz="2" w:space="0" w:color="auto"/>
              <w:right w:val="single" w:sz="2" w:space="0" w:color="auto"/>
            </w:tcBorders>
            <w:vAlign w:val="center"/>
          </w:tcPr>
          <w:p w14:paraId="23F55815" w14:textId="56CF7930" w:rsidR="002F3783" w:rsidRPr="009B0B79" w:rsidRDefault="00CB08AA" w:rsidP="000752D7">
            <w:pPr>
              <w:jc w:val="left"/>
              <w:rPr>
                <w:i/>
                <w:iCs/>
                <w:szCs w:val="20"/>
              </w:rPr>
            </w:pPr>
            <w:r>
              <w:rPr>
                <w:i/>
                <w:iCs/>
                <w:szCs w:val="20"/>
              </w:rPr>
              <w:t xml:space="preserve">Medical Surge </w:t>
            </w:r>
          </w:p>
        </w:tc>
        <w:tc>
          <w:tcPr>
            <w:tcW w:w="2250" w:type="dxa"/>
            <w:tcBorders>
              <w:top w:val="single" w:sz="2" w:space="0" w:color="auto"/>
              <w:left w:val="single" w:sz="2" w:space="0" w:color="auto"/>
              <w:bottom w:val="single" w:sz="2" w:space="0" w:color="auto"/>
              <w:right w:val="single" w:sz="2" w:space="0" w:color="auto"/>
            </w:tcBorders>
            <w:vAlign w:val="center"/>
          </w:tcPr>
          <w:p w14:paraId="1640D59A" w14:textId="046627E6" w:rsidR="002F3783" w:rsidRPr="002F3783" w:rsidRDefault="00D329FB" w:rsidP="002F3783">
            <w:pPr>
              <w:pStyle w:val="ListParagraph"/>
              <w:numPr>
                <w:ilvl w:val="0"/>
                <w:numId w:val="31"/>
              </w:numPr>
              <w:jc w:val="left"/>
            </w:pPr>
            <w:r>
              <w:t>TBD</w:t>
            </w:r>
          </w:p>
        </w:tc>
        <w:tc>
          <w:tcPr>
            <w:tcW w:w="1800" w:type="dxa"/>
            <w:tcBorders>
              <w:top w:val="single" w:sz="2" w:space="0" w:color="auto"/>
              <w:left w:val="single" w:sz="2" w:space="0" w:color="auto"/>
              <w:bottom w:val="single" w:sz="2" w:space="0" w:color="auto"/>
              <w:right w:val="single" w:sz="2" w:space="0" w:color="auto"/>
            </w:tcBorders>
            <w:vAlign w:val="center"/>
          </w:tcPr>
          <w:p w14:paraId="504F42B8" w14:textId="6232E5C8" w:rsidR="002F3783" w:rsidRPr="002F3783" w:rsidRDefault="002F3783" w:rsidP="000752D7">
            <w:pPr>
              <w:ind w:left="-14"/>
              <w:jc w:val="left"/>
              <w:rPr>
                <w:b/>
                <w:szCs w:val="20"/>
              </w:rPr>
            </w:pPr>
            <w:r>
              <w:rPr>
                <w:b/>
                <w:szCs w:val="20"/>
              </w:rPr>
              <w:t xml:space="preserve">Infectious Disease </w:t>
            </w:r>
          </w:p>
        </w:tc>
        <w:tc>
          <w:tcPr>
            <w:tcW w:w="2250" w:type="dxa"/>
            <w:tcBorders>
              <w:top w:val="single" w:sz="2" w:space="0" w:color="auto"/>
              <w:left w:val="single" w:sz="2" w:space="0" w:color="auto"/>
              <w:bottom w:val="single" w:sz="2" w:space="0" w:color="auto"/>
              <w:right w:val="single" w:sz="2" w:space="0" w:color="auto"/>
            </w:tcBorders>
            <w:vAlign w:val="center"/>
          </w:tcPr>
          <w:p w14:paraId="0BBF7B84" w14:textId="63548D33" w:rsidR="002F3783" w:rsidRPr="009B0B79" w:rsidRDefault="00D329FB" w:rsidP="000752D7">
            <w:pPr>
              <w:pStyle w:val="ListParagraph"/>
              <w:numPr>
                <w:ilvl w:val="0"/>
                <w:numId w:val="32"/>
              </w:numPr>
              <w:spacing w:line="240" w:lineRule="auto"/>
              <w:jc w:val="left"/>
            </w:pPr>
            <w:r>
              <w:t>N/A</w:t>
            </w:r>
          </w:p>
        </w:tc>
        <w:tc>
          <w:tcPr>
            <w:tcW w:w="1260" w:type="dxa"/>
            <w:tcBorders>
              <w:top w:val="single" w:sz="2" w:space="0" w:color="auto"/>
              <w:left w:val="single" w:sz="2" w:space="0" w:color="auto"/>
              <w:bottom w:val="single" w:sz="2" w:space="0" w:color="auto"/>
              <w:right w:val="single" w:sz="2" w:space="0" w:color="auto"/>
            </w:tcBorders>
            <w:vAlign w:val="center"/>
          </w:tcPr>
          <w:p w14:paraId="4BF2354B" w14:textId="2E3B0468" w:rsidR="002F3783" w:rsidRPr="009B0B79" w:rsidRDefault="00D329FB" w:rsidP="000752D7">
            <w:pPr>
              <w:ind w:hanging="23"/>
              <w:jc w:val="left"/>
              <w:rPr>
                <w:szCs w:val="20"/>
              </w:rPr>
            </w:pPr>
            <w:r>
              <w:rPr>
                <w:szCs w:val="20"/>
              </w:rPr>
              <w:t>TBD</w:t>
            </w:r>
          </w:p>
        </w:tc>
      </w:tr>
    </w:tbl>
    <w:p w14:paraId="7C989C99" w14:textId="77777777" w:rsidR="00A97932" w:rsidRDefault="00A97932" w:rsidP="002276B0">
      <w:pPr>
        <w:tabs>
          <w:tab w:val="left" w:pos="1109"/>
        </w:tabs>
        <w:spacing w:before="18"/>
        <w:ind w:right="201"/>
        <w:rPr>
          <w:rFonts w:eastAsia="Arial" w:cs="Arial"/>
          <w:szCs w:val="20"/>
        </w:rPr>
        <w:sectPr w:rsidR="00A97932" w:rsidSect="00AC4D0C">
          <w:headerReference w:type="default" r:id="rId14"/>
          <w:pgSz w:w="15840" w:h="12240" w:orient="landscape"/>
          <w:pgMar w:top="1440" w:right="1440" w:bottom="1440" w:left="1440" w:header="720" w:footer="720" w:gutter="0"/>
          <w:cols w:space="720"/>
          <w:docGrid w:linePitch="360"/>
        </w:sectPr>
      </w:pPr>
    </w:p>
    <w:p w14:paraId="4727045A" w14:textId="26F1D74B" w:rsidR="00AD0EEE" w:rsidRPr="00593AF3" w:rsidRDefault="00AD0EEE" w:rsidP="00AD0EEE">
      <w:pPr>
        <w:pStyle w:val="Heading1"/>
      </w:pPr>
      <w:bookmarkStart w:id="34" w:name="_Toc320196903"/>
      <w:bookmarkStart w:id="35" w:name="_Toc456621537"/>
      <w:bookmarkStart w:id="36" w:name="_Toc122099511"/>
      <w:r>
        <w:lastRenderedPageBreak/>
        <w:t>A</w:t>
      </w:r>
      <w:r w:rsidR="007D72DB">
        <w:t>ppendix</w:t>
      </w:r>
      <w:r>
        <w:t xml:space="preserve"> A: </w:t>
      </w:r>
      <w:r w:rsidR="007D72DB">
        <w:t>Previous Exercises</w:t>
      </w:r>
      <w:bookmarkEnd w:id="34"/>
      <w:bookmarkEnd w:id="35"/>
      <w:bookmarkEnd w:id="36"/>
    </w:p>
    <w:p w14:paraId="3EDEB87A" w14:textId="393F6F55" w:rsidR="00AD0EEE" w:rsidRPr="007D72DB" w:rsidRDefault="00AD0EEE" w:rsidP="007D72DB">
      <w:pPr>
        <w:jc w:val="left"/>
        <w:rPr>
          <w:rFonts w:cs="Arial"/>
          <w:sz w:val="24"/>
          <w:szCs w:val="24"/>
        </w:rPr>
      </w:pPr>
      <w:r w:rsidRPr="007D72DB">
        <w:rPr>
          <w:rFonts w:cs="Arial"/>
          <w:sz w:val="24"/>
          <w:szCs w:val="24"/>
        </w:rPr>
        <w:t xml:space="preserve">In building a roadmap for success, the Federal Emergency Management Agency’s Homeland Security Exercise and Evaluation Program (HSEEP) guidance recommends that planners should have a strong idea of where they have been before they begin planning for where they want to go. As part of the Multi-Year </w:t>
      </w:r>
      <w:r w:rsidR="001C5D6A">
        <w:rPr>
          <w:rFonts w:cs="Arial"/>
          <w:sz w:val="24"/>
          <w:szCs w:val="24"/>
        </w:rPr>
        <w:t xml:space="preserve">Integrated Preparedness </w:t>
      </w:r>
      <w:r w:rsidRPr="007D72DB">
        <w:rPr>
          <w:rFonts w:cs="Arial"/>
          <w:sz w:val="24"/>
          <w:szCs w:val="24"/>
        </w:rPr>
        <w:t>process, planners should review capabilities that have been previously tested. CDPH and EMSA have built prior exercises on national core/target, PHEP,</w:t>
      </w:r>
      <w:r w:rsidR="00FB1A74" w:rsidRPr="007D72DB">
        <w:rPr>
          <w:rFonts w:cs="Arial"/>
          <w:sz w:val="24"/>
          <w:szCs w:val="24"/>
        </w:rPr>
        <w:t xml:space="preserve"> and HPP capabilities. Past</w:t>
      </w:r>
      <w:r w:rsidRPr="007D72DB">
        <w:rPr>
          <w:rFonts w:cs="Arial"/>
          <w:sz w:val="24"/>
          <w:szCs w:val="24"/>
        </w:rPr>
        <w:t xml:space="preserve"> years of SWMHE exercises are listed below:</w:t>
      </w:r>
    </w:p>
    <w:p w14:paraId="01580900" w14:textId="77777777" w:rsidR="00AD0EEE" w:rsidRPr="005B3B43" w:rsidRDefault="00AD0EEE" w:rsidP="00AD0EEE">
      <w:pPr>
        <w:rPr>
          <w:rFonts w:cs="Arial"/>
          <w:szCs w:val="20"/>
        </w:rPr>
      </w:pPr>
    </w:p>
    <w:p w14:paraId="295DEEF6" w14:textId="61D7B668" w:rsidR="00AD0EEE" w:rsidRPr="009C1E72" w:rsidRDefault="00AD0EEE" w:rsidP="005F2B32">
      <w:pPr>
        <w:pStyle w:val="Heading3"/>
      </w:pPr>
      <w:r>
        <w:t xml:space="preserve">Table </w:t>
      </w:r>
      <w:r w:rsidR="00535ECC">
        <w:t>2</w:t>
      </w:r>
      <w:r w:rsidRPr="009C1E72">
        <w:t xml:space="preserve">: </w:t>
      </w:r>
      <w:r>
        <w:t>Previous SWMHE Exercises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previous statewide exercise list"/>
        <w:tblDescription w:val="List of previous SWMHEs and the year, scenario and capabiltiies "/>
      </w:tblPr>
      <w:tblGrid>
        <w:gridCol w:w="750"/>
        <w:gridCol w:w="1543"/>
        <w:gridCol w:w="6009"/>
        <w:gridCol w:w="1274"/>
      </w:tblGrid>
      <w:tr w:rsidR="00AD0EEE" w:rsidRPr="007D72DB" w14:paraId="5848EC0A" w14:textId="77777777" w:rsidTr="0009612C">
        <w:trPr>
          <w:cantSplit/>
          <w:trHeight w:val="68"/>
          <w:tblHeader/>
        </w:trPr>
        <w:tc>
          <w:tcPr>
            <w:tcW w:w="383" w:type="pct"/>
            <w:shd w:val="clear" w:color="auto" w:fill="002060"/>
            <w:vAlign w:val="center"/>
          </w:tcPr>
          <w:p w14:paraId="13A5226C" w14:textId="77777777" w:rsidR="00AD0EEE" w:rsidRPr="00FE3BE0" w:rsidRDefault="00AD0EEE" w:rsidP="00F21A1C">
            <w:pPr>
              <w:jc w:val="center"/>
              <w:rPr>
                <w:rFonts w:cs="Arial"/>
                <w:b/>
                <w:color w:val="FFFFFF"/>
                <w:sz w:val="24"/>
                <w:szCs w:val="24"/>
              </w:rPr>
            </w:pPr>
            <w:r w:rsidRPr="00FE3BE0">
              <w:rPr>
                <w:rFonts w:cs="Arial"/>
                <w:b/>
                <w:color w:val="FFFFFF"/>
                <w:sz w:val="24"/>
                <w:szCs w:val="24"/>
              </w:rPr>
              <w:t>Year</w:t>
            </w:r>
          </w:p>
        </w:tc>
        <w:tc>
          <w:tcPr>
            <w:tcW w:w="746" w:type="pct"/>
            <w:shd w:val="clear" w:color="auto" w:fill="002060"/>
            <w:vAlign w:val="center"/>
          </w:tcPr>
          <w:p w14:paraId="41263A0D" w14:textId="30DC6DD3" w:rsidR="00AD0EEE" w:rsidRPr="00FE3BE0" w:rsidRDefault="00E82F2F" w:rsidP="00F21A1C">
            <w:pPr>
              <w:jc w:val="center"/>
              <w:rPr>
                <w:rFonts w:cs="Arial"/>
                <w:b/>
                <w:color w:val="FFFFFF"/>
                <w:sz w:val="24"/>
                <w:szCs w:val="24"/>
              </w:rPr>
            </w:pPr>
            <w:r w:rsidRPr="00FE3BE0">
              <w:rPr>
                <w:rFonts w:cs="Arial"/>
                <w:b/>
                <w:color w:val="FFFFFF"/>
                <w:sz w:val="24"/>
                <w:szCs w:val="24"/>
              </w:rPr>
              <w:t>Scen</w:t>
            </w:r>
            <w:r w:rsidR="00AD0EEE" w:rsidRPr="00FE3BE0">
              <w:rPr>
                <w:rFonts w:cs="Arial"/>
                <w:b/>
                <w:color w:val="FFFFFF"/>
                <w:sz w:val="24"/>
                <w:szCs w:val="24"/>
              </w:rPr>
              <w:t>ario(s)</w:t>
            </w:r>
          </w:p>
        </w:tc>
        <w:tc>
          <w:tcPr>
            <w:tcW w:w="3172" w:type="pct"/>
            <w:shd w:val="clear" w:color="auto" w:fill="002060"/>
            <w:vAlign w:val="center"/>
          </w:tcPr>
          <w:p w14:paraId="728DD861" w14:textId="2F9E6569" w:rsidR="00AD0EEE" w:rsidRPr="00FE3BE0" w:rsidRDefault="00975139" w:rsidP="00F21A1C">
            <w:pPr>
              <w:jc w:val="center"/>
              <w:rPr>
                <w:rFonts w:cs="Arial"/>
                <w:b/>
                <w:color w:val="FFFFFF"/>
                <w:sz w:val="24"/>
                <w:szCs w:val="24"/>
              </w:rPr>
            </w:pPr>
            <w:r w:rsidRPr="00FE3BE0">
              <w:rPr>
                <w:rFonts w:cs="Arial"/>
                <w:b/>
                <w:color w:val="FFFFFF"/>
                <w:sz w:val="24"/>
                <w:szCs w:val="24"/>
              </w:rPr>
              <w:t>Capabilities</w:t>
            </w:r>
            <w:r w:rsidR="00E82F2F" w:rsidRPr="00FE3BE0">
              <w:rPr>
                <w:rFonts w:cs="Arial"/>
                <w:b/>
                <w:color w:val="FFFFFF"/>
                <w:sz w:val="24"/>
                <w:szCs w:val="24"/>
              </w:rPr>
              <w:t xml:space="preserve"> </w:t>
            </w:r>
          </w:p>
        </w:tc>
        <w:tc>
          <w:tcPr>
            <w:tcW w:w="699" w:type="pct"/>
            <w:shd w:val="clear" w:color="auto" w:fill="002060"/>
          </w:tcPr>
          <w:p w14:paraId="46B2E6B1" w14:textId="6BC3B579" w:rsidR="00AD0EEE" w:rsidRPr="00FE3BE0" w:rsidRDefault="00975139" w:rsidP="00F21A1C">
            <w:pPr>
              <w:jc w:val="center"/>
              <w:rPr>
                <w:rFonts w:cs="Arial"/>
                <w:b/>
                <w:color w:val="FFFFFF"/>
                <w:sz w:val="24"/>
                <w:szCs w:val="24"/>
              </w:rPr>
            </w:pPr>
            <w:r w:rsidRPr="00FE3BE0">
              <w:rPr>
                <w:rFonts w:cs="Arial"/>
                <w:b/>
                <w:color w:val="FFFFFF"/>
                <w:sz w:val="24"/>
                <w:szCs w:val="24"/>
              </w:rPr>
              <w:t>Regional</w:t>
            </w:r>
            <w:r w:rsidR="00AD0EEE" w:rsidRPr="00FE3BE0">
              <w:rPr>
                <w:rFonts w:cs="Arial"/>
                <w:b/>
                <w:color w:val="FFFFFF"/>
                <w:sz w:val="24"/>
                <w:szCs w:val="24"/>
              </w:rPr>
              <w:t xml:space="preserve"> Focus</w:t>
            </w:r>
          </w:p>
        </w:tc>
      </w:tr>
      <w:tr w:rsidR="00AD0EEE" w:rsidRPr="007D72DB" w14:paraId="6F527E2E" w14:textId="77777777" w:rsidTr="007D72DB">
        <w:trPr>
          <w:trHeight w:val="1381"/>
        </w:trPr>
        <w:tc>
          <w:tcPr>
            <w:tcW w:w="383" w:type="pct"/>
            <w:shd w:val="clear" w:color="auto" w:fill="auto"/>
            <w:vAlign w:val="center"/>
          </w:tcPr>
          <w:p w14:paraId="00943060" w14:textId="77777777" w:rsidR="00AD0EEE" w:rsidRPr="00FE3BE0" w:rsidRDefault="00AD0EEE" w:rsidP="00F21A1C">
            <w:pPr>
              <w:jc w:val="center"/>
              <w:rPr>
                <w:rFonts w:cs="Arial"/>
                <w:b/>
                <w:sz w:val="24"/>
                <w:szCs w:val="24"/>
              </w:rPr>
            </w:pPr>
            <w:r w:rsidRPr="00FE3BE0">
              <w:rPr>
                <w:rFonts w:cs="Arial"/>
                <w:b/>
                <w:sz w:val="24"/>
                <w:szCs w:val="24"/>
              </w:rPr>
              <w:t>2011</w:t>
            </w:r>
          </w:p>
        </w:tc>
        <w:tc>
          <w:tcPr>
            <w:tcW w:w="746" w:type="pct"/>
            <w:shd w:val="clear" w:color="auto" w:fill="auto"/>
            <w:vAlign w:val="center"/>
          </w:tcPr>
          <w:p w14:paraId="50108633" w14:textId="77777777" w:rsidR="00AD0EEE" w:rsidRPr="00FE3BE0" w:rsidRDefault="00AD0EEE" w:rsidP="00F21A1C">
            <w:pPr>
              <w:jc w:val="center"/>
              <w:rPr>
                <w:rFonts w:cs="Arial"/>
                <w:sz w:val="24"/>
                <w:szCs w:val="24"/>
              </w:rPr>
            </w:pPr>
            <w:r w:rsidRPr="00FE3BE0">
              <w:rPr>
                <w:rFonts w:cs="Arial"/>
                <w:sz w:val="24"/>
                <w:szCs w:val="24"/>
              </w:rPr>
              <w:t>Disruption in the public water system</w:t>
            </w:r>
          </w:p>
        </w:tc>
        <w:tc>
          <w:tcPr>
            <w:tcW w:w="3172" w:type="pct"/>
            <w:vAlign w:val="center"/>
          </w:tcPr>
          <w:p w14:paraId="24F93CA1" w14:textId="77777777" w:rsidR="00AD0EEE" w:rsidRPr="00FE3BE0" w:rsidRDefault="00AD0EEE" w:rsidP="009B3F13">
            <w:pPr>
              <w:pStyle w:val="ListParagraph"/>
              <w:numPr>
                <w:ilvl w:val="0"/>
                <w:numId w:val="8"/>
              </w:numPr>
              <w:spacing w:before="40" w:line="240" w:lineRule="auto"/>
              <w:jc w:val="left"/>
              <w:rPr>
                <w:sz w:val="24"/>
                <w:szCs w:val="24"/>
              </w:rPr>
            </w:pPr>
            <w:r w:rsidRPr="00FE3BE0">
              <w:rPr>
                <w:sz w:val="24"/>
                <w:szCs w:val="24"/>
              </w:rPr>
              <w:t>Communications</w:t>
            </w:r>
          </w:p>
          <w:p w14:paraId="0897B339" w14:textId="77777777" w:rsidR="00AD0EEE" w:rsidRPr="00FE3BE0" w:rsidRDefault="00AD0EEE" w:rsidP="009B3F13">
            <w:pPr>
              <w:pStyle w:val="ListParagraph"/>
              <w:numPr>
                <w:ilvl w:val="0"/>
                <w:numId w:val="8"/>
              </w:numPr>
              <w:spacing w:line="240" w:lineRule="auto"/>
              <w:jc w:val="left"/>
              <w:rPr>
                <w:sz w:val="24"/>
                <w:szCs w:val="24"/>
              </w:rPr>
            </w:pPr>
            <w:r w:rsidRPr="00FE3BE0">
              <w:rPr>
                <w:sz w:val="24"/>
                <w:szCs w:val="24"/>
              </w:rPr>
              <w:t>Intelligence/Information Sharing &amp; Dissemination</w:t>
            </w:r>
          </w:p>
          <w:p w14:paraId="3EC3572A" w14:textId="77777777" w:rsidR="00AD0EEE" w:rsidRPr="00FE3BE0" w:rsidRDefault="00AD0EEE" w:rsidP="009B3F13">
            <w:pPr>
              <w:pStyle w:val="ListParagraph"/>
              <w:numPr>
                <w:ilvl w:val="0"/>
                <w:numId w:val="8"/>
              </w:numPr>
              <w:spacing w:line="240" w:lineRule="auto"/>
              <w:jc w:val="left"/>
              <w:rPr>
                <w:sz w:val="24"/>
                <w:szCs w:val="24"/>
              </w:rPr>
            </w:pPr>
            <w:r w:rsidRPr="00FE3BE0">
              <w:rPr>
                <w:sz w:val="24"/>
                <w:szCs w:val="24"/>
              </w:rPr>
              <w:t>Medical Surge</w:t>
            </w:r>
          </w:p>
          <w:p w14:paraId="66F3CEB5" w14:textId="77777777" w:rsidR="00AD0EEE" w:rsidRPr="00FE3BE0" w:rsidRDefault="00AD0EEE" w:rsidP="009B3F13">
            <w:pPr>
              <w:pStyle w:val="ListParagraph"/>
              <w:numPr>
                <w:ilvl w:val="0"/>
                <w:numId w:val="8"/>
              </w:numPr>
              <w:spacing w:line="240" w:lineRule="auto"/>
              <w:jc w:val="left"/>
              <w:rPr>
                <w:sz w:val="24"/>
                <w:szCs w:val="24"/>
              </w:rPr>
            </w:pPr>
            <w:r w:rsidRPr="00FE3BE0">
              <w:rPr>
                <w:sz w:val="24"/>
                <w:szCs w:val="24"/>
              </w:rPr>
              <w:t>Emergency Operations Center (EOC) Management</w:t>
            </w:r>
          </w:p>
        </w:tc>
        <w:tc>
          <w:tcPr>
            <w:tcW w:w="699" w:type="pct"/>
            <w:vAlign w:val="center"/>
          </w:tcPr>
          <w:p w14:paraId="324DD789" w14:textId="77777777" w:rsidR="00AD0EEE" w:rsidRPr="00FE3BE0" w:rsidRDefault="00AD0EEE" w:rsidP="00F21A1C">
            <w:pPr>
              <w:jc w:val="center"/>
              <w:rPr>
                <w:rFonts w:cs="Arial"/>
                <w:sz w:val="24"/>
                <w:szCs w:val="24"/>
              </w:rPr>
            </w:pPr>
            <w:r w:rsidRPr="00FE3BE0">
              <w:rPr>
                <w:rFonts w:cs="Arial"/>
                <w:sz w:val="24"/>
                <w:szCs w:val="24"/>
              </w:rPr>
              <w:t>N/A</w:t>
            </w:r>
          </w:p>
        </w:tc>
      </w:tr>
      <w:tr w:rsidR="00AD0EEE" w:rsidRPr="007D72DB" w14:paraId="4B2D3FC1" w14:textId="77777777" w:rsidTr="007D72DB">
        <w:trPr>
          <w:trHeight w:val="2164"/>
        </w:trPr>
        <w:tc>
          <w:tcPr>
            <w:tcW w:w="383" w:type="pct"/>
            <w:shd w:val="clear" w:color="auto" w:fill="auto"/>
            <w:vAlign w:val="center"/>
          </w:tcPr>
          <w:p w14:paraId="4ABF9BA1" w14:textId="77777777" w:rsidR="00AD0EEE" w:rsidRPr="00FE3BE0" w:rsidRDefault="00AD0EEE" w:rsidP="00F21A1C">
            <w:pPr>
              <w:jc w:val="center"/>
              <w:rPr>
                <w:rFonts w:cs="Arial"/>
                <w:b/>
                <w:sz w:val="24"/>
                <w:szCs w:val="24"/>
              </w:rPr>
            </w:pPr>
            <w:r w:rsidRPr="00FE3BE0">
              <w:rPr>
                <w:rFonts w:cs="Arial"/>
                <w:b/>
                <w:sz w:val="24"/>
                <w:szCs w:val="24"/>
              </w:rPr>
              <w:t>2012</w:t>
            </w:r>
          </w:p>
        </w:tc>
        <w:tc>
          <w:tcPr>
            <w:tcW w:w="746" w:type="pct"/>
            <w:shd w:val="clear" w:color="auto" w:fill="auto"/>
            <w:vAlign w:val="center"/>
          </w:tcPr>
          <w:p w14:paraId="33C23F23" w14:textId="77777777" w:rsidR="00AD0EEE" w:rsidRPr="00FE3BE0" w:rsidRDefault="00AD0EEE" w:rsidP="00F21A1C">
            <w:pPr>
              <w:jc w:val="center"/>
              <w:rPr>
                <w:rFonts w:cs="Arial"/>
                <w:sz w:val="24"/>
                <w:szCs w:val="24"/>
              </w:rPr>
            </w:pPr>
            <w:r w:rsidRPr="00FE3BE0">
              <w:rPr>
                <w:rFonts w:cs="Arial"/>
                <w:sz w:val="24"/>
                <w:szCs w:val="24"/>
              </w:rPr>
              <w:t xml:space="preserve">Power loss due to an earthquake </w:t>
            </w:r>
          </w:p>
        </w:tc>
        <w:tc>
          <w:tcPr>
            <w:tcW w:w="3172" w:type="pct"/>
            <w:vAlign w:val="center"/>
          </w:tcPr>
          <w:p w14:paraId="3DFCFEC7" w14:textId="77777777" w:rsidR="00AD0EEE" w:rsidRPr="00FE3BE0" w:rsidRDefault="00AD0EEE" w:rsidP="00F21A1C">
            <w:pPr>
              <w:spacing w:before="40" w:after="60"/>
              <w:jc w:val="left"/>
              <w:rPr>
                <w:rFonts w:cs="Arial"/>
                <w:sz w:val="24"/>
                <w:szCs w:val="24"/>
              </w:rPr>
            </w:pPr>
            <w:r w:rsidRPr="00FE3BE0">
              <w:rPr>
                <w:rFonts w:cs="Arial"/>
                <w:sz w:val="24"/>
                <w:szCs w:val="24"/>
              </w:rPr>
              <w:t>Target Capabilities were Agency/Discipline specific and included:</w:t>
            </w:r>
          </w:p>
          <w:p w14:paraId="2DC6E2B3" w14:textId="77777777" w:rsidR="00AD0EEE" w:rsidRPr="00FE3BE0" w:rsidRDefault="00AD0EEE" w:rsidP="009B3F13">
            <w:pPr>
              <w:pStyle w:val="ListParagraph"/>
              <w:numPr>
                <w:ilvl w:val="0"/>
                <w:numId w:val="7"/>
              </w:numPr>
              <w:spacing w:line="240" w:lineRule="auto"/>
              <w:jc w:val="left"/>
              <w:rPr>
                <w:sz w:val="24"/>
                <w:szCs w:val="24"/>
              </w:rPr>
            </w:pPr>
            <w:r w:rsidRPr="00FE3BE0">
              <w:rPr>
                <w:sz w:val="24"/>
                <w:szCs w:val="24"/>
              </w:rPr>
              <w:t>Communications</w:t>
            </w:r>
          </w:p>
          <w:p w14:paraId="41F3AEAA" w14:textId="77777777" w:rsidR="00AD0EEE" w:rsidRPr="00FE3BE0" w:rsidRDefault="00AD0EEE" w:rsidP="009B3F13">
            <w:pPr>
              <w:pStyle w:val="ListParagraph"/>
              <w:numPr>
                <w:ilvl w:val="0"/>
                <w:numId w:val="7"/>
              </w:numPr>
              <w:spacing w:line="240" w:lineRule="auto"/>
              <w:jc w:val="left"/>
              <w:rPr>
                <w:sz w:val="24"/>
                <w:szCs w:val="24"/>
              </w:rPr>
            </w:pPr>
            <w:r w:rsidRPr="00FE3BE0">
              <w:rPr>
                <w:sz w:val="24"/>
                <w:szCs w:val="24"/>
              </w:rPr>
              <w:t>EOC Management</w:t>
            </w:r>
          </w:p>
          <w:p w14:paraId="3C808E18" w14:textId="77777777" w:rsidR="00AD0EEE" w:rsidRPr="00FE3BE0" w:rsidRDefault="00AD0EEE" w:rsidP="009B3F13">
            <w:pPr>
              <w:pStyle w:val="ListParagraph"/>
              <w:numPr>
                <w:ilvl w:val="0"/>
                <w:numId w:val="7"/>
              </w:numPr>
              <w:spacing w:line="240" w:lineRule="auto"/>
              <w:jc w:val="left"/>
              <w:rPr>
                <w:sz w:val="24"/>
                <w:szCs w:val="24"/>
              </w:rPr>
            </w:pPr>
            <w:r w:rsidRPr="00FE3BE0">
              <w:rPr>
                <w:sz w:val="24"/>
                <w:szCs w:val="24"/>
              </w:rPr>
              <w:t>Intelligence and Information Sharing/Dissemination</w:t>
            </w:r>
          </w:p>
          <w:p w14:paraId="2AD7FC7F" w14:textId="77777777" w:rsidR="00AD0EEE" w:rsidRPr="00FE3BE0" w:rsidRDefault="00AD0EEE" w:rsidP="009B3F13">
            <w:pPr>
              <w:pStyle w:val="ListParagraph"/>
              <w:numPr>
                <w:ilvl w:val="0"/>
                <w:numId w:val="7"/>
              </w:numPr>
              <w:spacing w:line="240" w:lineRule="auto"/>
              <w:jc w:val="left"/>
              <w:rPr>
                <w:sz w:val="24"/>
                <w:szCs w:val="24"/>
              </w:rPr>
            </w:pPr>
            <w:r w:rsidRPr="00FE3BE0">
              <w:rPr>
                <w:sz w:val="24"/>
                <w:szCs w:val="24"/>
              </w:rPr>
              <w:t>Medical Surge</w:t>
            </w:r>
          </w:p>
        </w:tc>
        <w:tc>
          <w:tcPr>
            <w:tcW w:w="699" w:type="pct"/>
            <w:vAlign w:val="center"/>
          </w:tcPr>
          <w:p w14:paraId="3AFE5C71" w14:textId="77777777" w:rsidR="00AD0EEE" w:rsidRPr="00FE3BE0" w:rsidDel="00A00267" w:rsidRDefault="00AD0EEE" w:rsidP="00F21A1C">
            <w:pPr>
              <w:jc w:val="center"/>
              <w:rPr>
                <w:rFonts w:cs="Arial"/>
                <w:sz w:val="24"/>
                <w:szCs w:val="24"/>
              </w:rPr>
            </w:pPr>
            <w:r w:rsidRPr="00FE3BE0">
              <w:rPr>
                <w:rFonts w:cs="Arial"/>
                <w:sz w:val="24"/>
                <w:szCs w:val="24"/>
              </w:rPr>
              <w:t>N/A</w:t>
            </w:r>
          </w:p>
        </w:tc>
      </w:tr>
      <w:tr w:rsidR="00AD0EEE" w:rsidRPr="007D72DB" w14:paraId="4255D14F" w14:textId="77777777" w:rsidTr="007D72DB">
        <w:trPr>
          <w:trHeight w:val="1957"/>
        </w:trPr>
        <w:tc>
          <w:tcPr>
            <w:tcW w:w="383" w:type="pct"/>
            <w:shd w:val="clear" w:color="auto" w:fill="auto"/>
            <w:vAlign w:val="center"/>
          </w:tcPr>
          <w:p w14:paraId="21F3ADC0" w14:textId="77777777" w:rsidR="00AD0EEE" w:rsidRPr="00FE3BE0" w:rsidRDefault="00AD0EEE" w:rsidP="00F21A1C">
            <w:pPr>
              <w:jc w:val="center"/>
              <w:rPr>
                <w:rFonts w:cs="Arial"/>
                <w:b/>
                <w:sz w:val="24"/>
                <w:szCs w:val="24"/>
              </w:rPr>
            </w:pPr>
            <w:r w:rsidRPr="00FE3BE0">
              <w:rPr>
                <w:rFonts w:cs="Arial"/>
                <w:b/>
                <w:sz w:val="24"/>
                <w:szCs w:val="24"/>
              </w:rPr>
              <w:t>2013</w:t>
            </w:r>
          </w:p>
        </w:tc>
        <w:tc>
          <w:tcPr>
            <w:tcW w:w="746" w:type="pct"/>
            <w:shd w:val="clear" w:color="auto" w:fill="auto"/>
            <w:vAlign w:val="center"/>
          </w:tcPr>
          <w:p w14:paraId="1C5D620A" w14:textId="77777777" w:rsidR="00AD0EEE" w:rsidRPr="00FE3BE0" w:rsidRDefault="00AD0EEE" w:rsidP="00F21A1C">
            <w:pPr>
              <w:jc w:val="center"/>
              <w:rPr>
                <w:rFonts w:cs="Arial"/>
                <w:b/>
                <w:sz w:val="24"/>
                <w:szCs w:val="24"/>
              </w:rPr>
            </w:pPr>
            <w:r w:rsidRPr="00FE3BE0">
              <w:rPr>
                <w:rFonts w:cs="Arial"/>
                <w:sz w:val="24"/>
                <w:szCs w:val="24"/>
              </w:rPr>
              <w:t>Food-Borne Event</w:t>
            </w:r>
          </w:p>
        </w:tc>
        <w:tc>
          <w:tcPr>
            <w:tcW w:w="3172" w:type="pct"/>
            <w:vAlign w:val="center"/>
          </w:tcPr>
          <w:p w14:paraId="4586D174" w14:textId="77777777" w:rsidR="00AD0EEE" w:rsidRPr="00FE3BE0" w:rsidRDefault="00AD0EEE" w:rsidP="009B3F13">
            <w:pPr>
              <w:pStyle w:val="ListParagraph"/>
              <w:numPr>
                <w:ilvl w:val="0"/>
                <w:numId w:val="9"/>
              </w:numPr>
              <w:spacing w:line="240" w:lineRule="auto"/>
              <w:jc w:val="left"/>
              <w:rPr>
                <w:sz w:val="24"/>
                <w:szCs w:val="24"/>
              </w:rPr>
            </w:pPr>
            <w:r w:rsidRPr="00FE3BE0">
              <w:rPr>
                <w:sz w:val="24"/>
                <w:szCs w:val="24"/>
              </w:rPr>
              <w:t>Medical Surge</w:t>
            </w:r>
          </w:p>
          <w:p w14:paraId="601E3557" w14:textId="77777777" w:rsidR="00AD0EEE" w:rsidRPr="00FE3BE0" w:rsidRDefault="00AD0EEE" w:rsidP="009B3F13">
            <w:pPr>
              <w:pStyle w:val="ListParagraph"/>
              <w:numPr>
                <w:ilvl w:val="0"/>
                <w:numId w:val="9"/>
              </w:numPr>
              <w:spacing w:line="240" w:lineRule="auto"/>
              <w:jc w:val="left"/>
              <w:rPr>
                <w:sz w:val="24"/>
                <w:szCs w:val="24"/>
              </w:rPr>
            </w:pPr>
            <w:r w:rsidRPr="00FE3BE0">
              <w:rPr>
                <w:sz w:val="24"/>
                <w:szCs w:val="24"/>
              </w:rPr>
              <w:t>Communication</w:t>
            </w:r>
          </w:p>
          <w:p w14:paraId="01F14185" w14:textId="77777777" w:rsidR="00AD0EEE" w:rsidRPr="00FE3BE0" w:rsidRDefault="00AD0EEE" w:rsidP="009B3F13">
            <w:pPr>
              <w:pStyle w:val="ListParagraph"/>
              <w:numPr>
                <w:ilvl w:val="0"/>
                <w:numId w:val="9"/>
              </w:numPr>
              <w:spacing w:line="240" w:lineRule="auto"/>
              <w:jc w:val="left"/>
              <w:rPr>
                <w:sz w:val="24"/>
                <w:szCs w:val="24"/>
              </w:rPr>
            </w:pPr>
            <w:r w:rsidRPr="00FE3BE0">
              <w:rPr>
                <w:sz w:val="24"/>
                <w:szCs w:val="24"/>
              </w:rPr>
              <w:t>EOC Management</w:t>
            </w:r>
          </w:p>
          <w:p w14:paraId="1F6B48E9" w14:textId="77777777" w:rsidR="00AD0EEE" w:rsidRPr="00FE3BE0" w:rsidRDefault="00AD0EEE" w:rsidP="009B3F13">
            <w:pPr>
              <w:pStyle w:val="ListParagraph"/>
              <w:numPr>
                <w:ilvl w:val="0"/>
                <w:numId w:val="9"/>
              </w:numPr>
              <w:spacing w:line="240" w:lineRule="auto"/>
              <w:jc w:val="left"/>
              <w:rPr>
                <w:sz w:val="24"/>
                <w:szCs w:val="24"/>
              </w:rPr>
            </w:pPr>
            <w:r w:rsidRPr="00FE3BE0">
              <w:rPr>
                <w:sz w:val="24"/>
                <w:szCs w:val="24"/>
              </w:rPr>
              <w:t>Emergency Public Information and Warning</w:t>
            </w:r>
          </w:p>
          <w:p w14:paraId="71D8D1F5" w14:textId="77777777" w:rsidR="00AD0EEE" w:rsidRPr="00FE3BE0" w:rsidRDefault="00AD0EEE" w:rsidP="009B3F13">
            <w:pPr>
              <w:pStyle w:val="ListParagraph"/>
              <w:numPr>
                <w:ilvl w:val="0"/>
                <w:numId w:val="9"/>
              </w:numPr>
              <w:spacing w:line="240" w:lineRule="auto"/>
              <w:jc w:val="left"/>
              <w:rPr>
                <w:sz w:val="24"/>
                <w:szCs w:val="24"/>
              </w:rPr>
            </w:pPr>
            <w:r w:rsidRPr="00FE3BE0">
              <w:rPr>
                <w:sz w:val="24"/>
                <w:szCs w:val="24"/>
              </w:rPr>
              <w:t>Public Health Epidemiological Surveillance</w:t>
            </w:r>
          </w:p>
        </w:tc>
        <w:tc>
          <w:tcPr>
            <w:tcW w:w="699" w:type="pct"/>
            <w:vAlign w:val="center"/>
          </w:tcPr>
          <w:p w14:paraId="25FBA781" w14:textId="77777777" w:rsidR="00AD0EEE" w:rsidRPr="00FE3BE0" w:rsidRDefault="00AD0EEE" w:rsidP="00F21A1C">
            <w:pPr>
              <w:jc w:val="center"/>
              <w:rPr>
                <w:rFonts w:cs="Arial"/>
                <w:sz w:val="24"/>
                <w:szCs w:val="24"/>
              </w:rPr>
            </w:pPr>
            <w:r w:rsidRPr="00FE3BE0">
              <w:rPr>
                <w:rFonts w:cs="Arial"/>
                <w:sz w:val="24"/>
                <w:szCs w:val="24"/>
              </w:rPr>
              <w:t>N/A</w:t>
            </w:r>
          </w:p>
        </w:tc>
      </w:tr>
      <w:tr w:rsidR="00AD0EEE" w:rsidRPr="007D72DB" w14:paraId="545A0F61" w14:textId="77777777" w:rsidTr="007D72DB">
        <w:trPr>
          <w:trHeight w:val="1975"/>
        </w:trPr>
        <w:tc>
          <w:tcPr>
            <w:tcW w:w="383" w:type="pct"/>
            <w:shd w:val="clear" w:color="auto" w:fill="auto"/>
            <w:vAlign w:val="center"/>
          </w:tcPr>
          <w:p w14:paraId="714BAE8B" w14:textId="77777777" w:rsidR="00AD0EEE" w:rsidRPr="00FE3BE0" w:rsidRDefault="00AD0EEE" w:rsidP="00F21A1C">
            <w:pPr>
              <w:jc w:val="center"/>
              <w:rPr>
                <w:rFonts w:cs="Arial"/>
                <w:b/>
                <w:sz w:val="24"/>
                <w:szCs w:val="24"/>
              </w:rPr>
            </w:pPr>
            <w:r w:rsidRPr="00FE3BE0">
              <w:rPr>
                <w:rFonts w:cs="Arial"/>
                <w:b/>
                <w:sz w:val="24"/>
                <w:szCs w:val="24"/>
              </w:rPr>
              <w:t>2014</w:t>
            </w:r>
          </w:p>
        </w:tc>
        <w:tc>
          <w:tcPr>
            <w:tcW w:w="746" w:type="pct"/>
            <w:shd w:val="clear" w:color="auto" w:fill="auto"/>
            <w:vAlign w:val="center"/>
          </w:tcPr>
          <w:p w14:paraId="7F740B72" w14:textId="77777777" w:rsidR="00AD0EEE" w:rsidRPr="00FE3BE0" w:rsidRDefault="00AD0EEE" w:rsidP="00F21A1C">
            <w:pPr>
              <w:jc w:val="center"/>
              <w:rPr>
                <w:rFonts w:cs="Arial"/>
                <w:sz w:val="24"/>
                <w:szCs w:val="24"/>
              </w:rPr>
            </w:pPr>
            <w:r w:rsidRPr="00FE3BE0">
              <w:rPr>
                <w:rFonts w:cs="Arial"/>
                <w:sz w:val="24"/>
                <w:szCs w:val="24"/>
              </w:rPr>
              <w:t>MERS-</w:t>
            </w:r>
            <w:proofErr w:type="spellStart"/>
            <w:r w:rsidRPr="00FE3BE0">
              <w:rPr>
                <w:rFonts w:cs="Arial"/>
                <w:sz w:val="24"/>
                <w:szCs w:val="24"/>
              </w:rPr>
              <w:t>CoV</w:t>
            </w:r>
            <w:proofErr w:type="spellEnd"/>
          </w:p>
          <w:p w14:paraId="21E8057C" w14:textId="77777777" w:rsidR="00AD0EEE" w:rsidRPr="00FE3BE0" w:rsidRDefault="00AD0EEE" w:rsidP="00F21A1C">
            <w:pPr>
              <w:jc w:val="center"/>
              <w:rPr>
                <w:rFonts w:cs="Arial"/>
                <w:sz w:val="24"/>
                <w:szCs w:val="24"/>
              </w:rPr>
            </w:pPr>
            <w:r w:rsidRPr="00FE3BE0">
              <w:rPr>
                <w:rFonts w:cs="Arial"/>
                <w:sz w:val="24"/>
                <w:szCs w:val="24"/>
              </w:rPr>
              <w:t>Aerosolized Anthrax (Bay Area)</w:t>
            </w:r>
          </w:p>
        </w:tc>
        <w:tc>
          <w:tcPr>
            <w:tcW w:w="3172" w:type="pct"/>
            <w:vAlign w:val="center"/>
          </w:tcPr>
          <w:p w14:paraId="5D271D44" w14:textId="77777777" w:rsidR="00AD0EEE" w:rsidRPr="00FE3BE0" w:rsidRDefault="00AD0EEE" w:rsidP="009B3F13">
            <w:pPr>
              <w:pStyle w:val="ListParagraph"/>
              <w:numPr>
                <w:ilvl w:val="0"/>
                <w:numId w:val="10"/>
              </w:numPr>
              <w:spacing w:line="240" w:lineRule="auto"/>
              <w:jc w:val="left"/>
              <w:rPr>
                <w:sz w:val="24"/>
                <w:szCs w:val="24"/>
              </w:rPr>
            </w:pPr>
            <w:r w:rsidRPr="00FE3BE0">
              <w:rPr>
                <w:sz w:val="24"/>
                <w:szCs w:val="24"/>
              </w:rPr>
              <w:t xml:space="preserve">Operational Communications </w:t>
            </w:r>
          </w:p>
          <w:p w14:paraId="409AB4E3" w14:textId="77777777" w:rsidR="00AD0EEE" w:rsidRPr="00FE3BE0" w:rsidRDefault="00AD0EEE" w:rsidP="009B3F13">
            <w:pPr>
              <w:pStyle w:val="ListParagraph"/>
              <w:numPr>
                <w:ilvl w:val="0"/>
                <w:numId w:val="10"/>
              </w:numPr>
              <w:spacing w:line="240" w:lineRule="auto"/>
              <w:jc w:val="left"/>
              <w:rPr>
                <w:sz w:val="24"/>
                <w:szCs w:val="24"/>
              </w:rPr>
            </w:pPr>
            <w:r w:rsidRPr="00FE3BE0">
              <w:rPr>
                <w:sz w:val="24"/>
                <w:szCs w:val="24"/>
              </w:rPr>
              <w:t xml:space="preserve">Public Health and Medical Services </w:t>
            </w:r>
          </w:p>
          <w:p w14:paraId="0A1A339F" w14:textId="77777777" w:rsidR="00AD0EEE" w:rsidRPr="00FE3BE0" w:rsidRDefault="00AD0EEE" w:rsidP="009B3F13">
            <w:pPr>
              <w:pStyle w:val="ListParagraph"/>
              <w:numPr>
                <w:ilvl w:val="0"/>
                <w:numId w:val="10"/>
              </w:numPr>
              <w:spacing w:line="240" w:lineRule="auto"/>
              <w:jc w:val="left"/>
              <w:rPr>
                <w:sz w:val="24"/>
                <w:szCs w:val="24"/>
              </w:rPr>
            </w:pPr>
            <w:r w:rsidRPr="00FE3BE0">
              <w:rPr>
                <w:sz w:val="24"/>
                <w:szCs w:val="24"/>
              </w:rPr>
              <w:t xml:space="preserve">Operational Coordination and On-Site Incident Management </w:t>
            </w:r>
          </w:p>
          <w:p w14:paraId="2A3B155B" w14:textId="77777777" w:rsidR="00AD0EEE" w:rsidRPr="00FE3BE0" w:rsidRDefault="00AD0EEE" w:rsidP="009B3F13">
            <w:pPr>
              <w:pStyle w:val="ListParagraph"/>
              <w:numPr>
                <w:ilvl w:val="0"/>
                <w:numId w:val="10"/>
              </w:numPr>
              <w:spacing w:line="240" w:lineRule="auto"/>
              <w:jc w:val="left"/>
              <w:rPr>
                <w:sz w:val="24"/>
                <w:szCs w:val="24"/>
              </w:rPr>
            </w:pPr>
            <w:r w:rsidRPr="00FE3BE0">
              <w:rPr>
                <w:sz w:val="24"/>
                <w:szCs w:val="24"/>
              </w:rPr>
              <w:t xml:space="preserve">Public and Private Services and Resources </w:t>
            </w:r>
          </w:p>
        </w:tc>
        <w:tc>
          <w:tcPr>
            <w:tcW w:w="699" w:type="pct"/>
            <w:vAlign w:val="center"/>
          </w:tcPr>
          <w:p w14:paraId="37AF1F8C" w14:textId="77777777" w:rsidR="00AD0EEE" w:rsidRPr="00FE3BE0" w:rsidRDefault="00AD0EEE" w:rsidP="00F21A1C">
            <w:pPr>
              <w:jc w:val="center"/>
              <w:rPr>
                <w:rFonts w:cs="Arial"/>
                <w:sz w:val="24"/>
                <w:szCs w:val="24"/>
              </w:rPr>
            </w:pPr>
            <w:r w:rsidRPr="00FE3BE0">
              <w:rPr>
                <w:rFonts w:cs="Arial"/>
                <w:sz w:val="24"/>
                <w:szCs w:val="24"/>
              </w:rPr>
              <w:t>Region II</w:t>
            </w:r>
          </w:p>
        </w:tc>
      </w:tr>
      <w:tr w:rsidR="00AD0EEE" w:rsidRPr="007D72DB" w14:paraId="7AFEEA97" w14:textId="77777777" w:rsidTr="0009612C">
        <w:trPr>
          <w:cantSplit/>
          <w:trHeight w:val="3280"/>
        </w:trPr>
        <w:tc>
          <w:tcPr>
            <w:tcW w:w="383" w:type="pct"/>
            <w:shd w:val="clear" w:color="auto" w:fill="auto"/>
            <w:vAlign w:val="center"/>
          </w:tcPr>
          <w:p w14:paraId="1E0CEE0F" w14:textId="77777777" w:rsidR="00AD0EEE" w:rsidRPr="00FE3BE0" w:rsidRDefault="00AD0EEE" w:rsidP="00F21A1C">
            <w:pPr>
              <w:jc w:val="center"/>
              <w:rPr>
                <w:rFonts w:cs="Arial"/>
                <w:b/>
                <w:sz w:val="24"/>
                <w:szCs w:val="24"/>
              </w:rPr>
            </w:pPr>
            <w:r w:rsidRPr="00FE3BE0">
              <w:rPr>
                <w:rFonts w:cs="Arial"/>
                <w:b/>
                <w:sz w:val="24"/>
                <w:szCs w:val="24"/>
              </w:rPr>
              <w:lastRenderedPageBreak/>
              <w:t>2015</w:t>
            </w:r>
          </w:p>
        </w:tc>
        <w:tc>
          <w:tcPr>
            <w:tcW w:w="746" w:type="pct"/>
            <w:shd w:val="clear" w:color="auto" w:fill="auto"/>
            <w:vAlign w:val="center"/>
          </w:tcPr>
          <w:p w14:paraId="7115658D" w14:textId="77777777" w:rsidR="00AD0EEE" w:rsidRPr="00FE3BE0" w:rsidRDefault="00AD0EEE" w:rsidP="0073554E">
            <w:pPr>
              <w:ind w:left="72"/>
              <w:jc w:val="center"/>
              <w:rPr>
                <w:rFonts w:cs="Arial"/>
                <w:sz w:val="24"/>
                <w:szCs w:val="24"/>
              </w:rPr>
            </w:pPr>
            <w:r w:rsidRPr="00FE3BE0">
              <w:rPr>
                <w:rFonts w:cs="Arial"/>
                <w:sz w:val="24"/>
                <w:szCs w:val="24"/>
              </w:rPr>
              <w:t>Pandemic Influenza</w:t>
            </w:r>
          </w:p>
          <w:p w14:paraId="5CE5C396" w14:textId="77777777" w:rsidR="00AD0EEE" w:rsidRPr="00FE3BE0" w:rsidRDefault="00AD0EEE" w:rsidP="0073554E">
            <w:pPr>
              <w:ind w:left="72"/>
              <w:jc w:val="center"/>
              <w:rPr>
                <w:rFonts w:cs="Arial"/>
                <w:sz w:val="24"/>
                <w:szCs w:val="24"/>
              </w:rPr>
            </w:pPr>
            <w:r w:rsidRPr="00FE3BE0">
              <w:rPr>
                <w:rFonts w:cs="Arial"/>
                <w:sz w:val="24"/>
                <w:szCs w:val="24"/>
              </w:rPr>
              <w:t>Aerosolized Anthrax (SoCal)</w:t>
            </w:r>
          </w:p>
        </w:tc>
        <w:tc>
          <w:tcPr>
            <w:tcW w:w="3172" w:type="pct"/>
            <w:vAlign w:val="center"/>
          </w:tcPr>
          <w:p w14:paraId="488136FA" w14:textId="77777777" w:rsidR="00AD0EEE" w:rsidRPr="00FE3BE0" w:rsidRDefault="00AD0EEE" w:rsidP="009B3F13">
            <w:pPr>
              <w:pStyle w:val="ListParagraph"/>
              <w:numPr>
                <w:ilvl w:val="0"/>
                <w:numId w:val="11"/>
              </w:numPr>
              <w:spacing w:line="240" w:lineRule="auto"/>
              <w:jc w:val="left"/>
              <w:rPr>
                <w:sz w:val="24"/>
                <w:szCs w:val="24"/>
              </w:rPr>
            </w:pPr>
            <w:r w:rsidRPr="00FE3BE0">
              <w:rPr>
                <w:sz w:val="24"/>
                <w:szCs w:val="24"/>
              </w:rPr>
              <w:t>Operational Communications</w:t>
            </w:r>
          </w:p>
          <w:p w14:paraId="2026E179" w14:textId="77777777" w:rsidR="00AD0EEE" w:rsidRPr="00FE3BE0" w:rsidRDefault="00AD0EEE" w:rsidP="009B3F13">
            <w:pPr>
              <w:pStyle w:val="ListParagraph"/>
              <w:numPr>
                <w:ilvl w:val="0"/>
                <w:numId w:val="11"/>
              </w:numPr>
              <w:spacing w:line="240" w:lineRule="auto"/>
              <w:jc w:val="left"/>
              <w:rPr>
                <w:sz w:val="24"/>
                <w:szCs w:val="24"/>
              </w:rPr>
            </w:pPr>
            <w:r w:rsidRPr="00FE3BE0">
              <w:rPr>
                <w:sz w:val="24"/>
                <w:szCs w:val="24"/>
              </w:rPr>
              <w:t>Operational Coordination and On-Site Incident Management</w:t>
            </w:r>
          </w:p>
          <w:p w14:paraId="0EA4B1D5" w14:textId="77777777" w:rsidR="00AD0EEE" w:rsidRPr="00FE3BE0" w:rsidRDefault="00AD0EEE" w:rsidP="009B3F13">
            <w:pPr>
              <w:pStyle w:val="ListParagraph"/>
              <w:numPr>
                <w:ilvl w:val="0"/>
                <w:numId w:val="11"/>
              </w:numPr>
              <w:spacing w:line="240" w:lineRule="auto"/>
              <w:jc w:val="left"/>
              <w:rPr>
                <w:sz w:val="24"/>
                <w:szCs w:val="24"/>
              </w:rPr>
            </w:pPr>
            <w:r w:rsidRPr="00FE3BE0">
              <w:rPr>
                <w:sz w:val="24"/>
                <w:szCs w:val="24"/>
              </w:rPr>
              <w:t>Public Health and Medical Services</w:t>
            </w:r>
          </w:p>
          <w:p w14:paraId="5F46E7CF" w14:textId="77777777" w:rsidR="00AD0EEE" w:rsidRPr="00FE3BE0" w:rsidRDefault="00AD0EEE" w:rsidP="009B3F13">
            <w:pPr>
              <w:pStyle w:val="ListParagraph"/>
              <w:numPr>
                <w:ilvl w:val="0"/>
                <w:numId w:val="11"/>
              </w:numPr>
              <w:spacing w:line="240" w:lineRule="auto"/>
              <w:jc w:val="left"/>
              <w:rPr>
                <w:sz w:val="24"/>
                <w:szCs w:val="24"/>
              </w:rPr>
            </w:pPr>
            <w:r w:rsidRPr="00FE3BE0">
              <w:rPr>
                <w:sz w:val="24"/>
                <w:szCs w:val="24"/>
              </w:rPr>
              <w:t>Medical Surge</w:t>
            </w:r>
          </w:p>
          <w:p w14:paraId="3E37C937" w14:textId="77777777" w:rsidR="00AD0EEE" w:rsidRPr="00FE3BE0" w:rsidRDefault="00AD0EEE" w:rsidP="009B3F13">
            <w:pPr>
              <w:pStyle w:val="ListParagraph"/>
              <w:numPr>
                <w:ilvl w:val="0"/>
                <w:numId w:val="11"/>
              </w:numPr>
              <w:spacing w:line="240" w:lineRule="auto"/>
              <w:jc w:val="left"/>
              <w:rPr>
                <w:sz w:val="24"/>
                <w:szCs w:val="24"/>
              </w:rPr>
            </w:pPr>
            <w:r w:rsidRPr="00FE3BE0">
              <w:rPr>
                <w:sz w:val="24"/>
                <w:szCs w:val="24"/>
              </w:rPr>
              <w:t>On-Scene Security</w:t>
            </w:r>
          </w:p>
          <w:p w14:paraId="7D2F14B9" w14:textId="77777777" w:rsidR="00AD0EEE" w:rsidRPr="00FE3BE0" w:rsidRDefault="00AD0EEE" w:rsidP="009B3F13">
            <w:pPr>
              <w:pStyle w:val="ListParagraph"/>
              <w:numPr>
                <w:ilvl w:val="0"/>
                <w:numId w:val="11"/>
              </w:numPr>
              <w:spacing w:line="240" w:lineRule="auto"/>
              <w:jc w:val="left"/>
              <w:rPr>
                <w:sz w:val="24"/>
                <w:szCs w:val="24"/>
              </w:rPr>
            </w:pPr>
            <w:r w:rsidRPr="00FE3BE0">
              <w:rPr>
                <w:sz w:val="24"/>
                <w:szCs w:val="24"/>
              </w:rPr>
              <w:t>Emergency Public Information and Warning</w:t>
            </w:r>
          </w:p>
          <w:p w14:paraId="123B03EE" w14:textId="77777777" w:rsidR="00AD0EEE" w:rsidRPr="00FE3BE0" w:rsidRDefault="00AD0EEE" w:rsidP="009B3F13">
            <w:pPr>
              <w:pStyle w:val="ListParagraph"/>
              <w:numPr>
                <w:ilvl w:val="0"/>
                <w:numId w:val="11"/>
              </w:numPr>
              <w:spacing w:line="240" w:lineRule="auto"/>
              <w:jc w:val="left"/>
              <w:rPr>
                <w:sz w:val="24"/>
                <w:szCs w:val="24"/>
              </w:rPr>
            </w:pPr>
            <w:r w:rsidRPr="00FE3BE0">
              <w:rPr>
                <w:sz w:val="24"/>
                <w:szCs w:val="24"/>
              </w:rPr>
              <w:t>Fatality Management</w:t>
            </w:r>
          </w:p>
          <w:p w14:paraId="7D128BB6" w14:textId="77777777" w:rsidR="00AD0EEE" w:rsidRPr="00FE3BE0" w:rsidRDefault="00AD0EEE" w:rsidP="009B3F13">
            <w:pPr>
              <w:pStyle w:val="ListParagraph"/>
              <w:numPr>
                <w:ilvl w:val="0"/>
                <w:numId w:val="11"/>
              </w:numPr>
              <w:spacing w:line="240" w:lineRule="auto"/>
              <w:jc w:val="left"/>
              <w:rPr>
                <w:sz w:val="24"/>
                <w:szCs w:val="24"/>
              </w:rPr>
            </w:pPr>
            <w:r w:rsidRPr="00FE3BE0">
              <w:rPr>
                <w:sz w:val="24"/>
                <w:szCs w:val="24"/>
              </w:rPr>
              <w:t>Response/Health and Safety</w:t>
            </w:r>
          </w:p>
          <w:p w14:paraId="4B86C58B" w14:textId="77777777" w:rsidR="00AD0EEE" w:rsidRPr="00FE3BE0" w:rsidRDefault="00AD0EEE" w:rsidP="009B3F13">
            <w:pPr>
              <w:pStyle w:val="ListParagraph"/>
              <w:numPr>
                <w:ilvl w:val="0"/>
                <w:numId w:val="11"/>
              </w:numPr>
              <w:spacing w:line="240" w:lineRule="auto"/>
              <w:jc w:val="left"/>
              <w:rPr>
                <w:sz w:val="24"/>
                <w:szCs w:val="24"/>
              </w:rPr>
            </w:pPr>
            <w:r w:rsidRPr="00FE3BE0">
              <w:rPr>
                <w:sz w:val="24"/>
                <w:szCs w:val="24"/>
              </w:rPr>
              <w:t>Critical Transportation</w:t>
            </w:r>
          </w:p>
        </w:tc>
        <w:tc>
          <w:tcPr>
            <w:tcW w:w="699" w:type="pct"/>
            <w:vAlign w:val="center"/>
          </w:tcPr>
          <w:p w14:paraId="0C554C3A" w14:textId="77777777" w:rsidR="00AD0EEE" w:rsidRPr="00FE3BE0" w:rsidRDefault="00AD0EEE" w:rsidP="0073554E">
            <w:pPr>
              <w:jc w:val="center"/>
              <w:rPr>
                <w:rFonts w:cs="Arial"/>
                <w:sz w:val="24"/>
                <w:szCs w:val="24"/>
              </w:rPr>
            </w:pPr>
            <w:r w:rsidRPr="00FE3BE0">
              <w:rPr>
                <w:rFonts w:cs="Arial"/>
                <w:sz w:val="24"/>
                <w:szCs w:val="24"/>
              </w:rPr>
              <w:t>Region I</w:t>
            </w:r>
          </w:p>
          <w:p w14:paraId="3F5A01AC" w14:textId="31449DE6" w:rsidR="00AD0EEE" w:rsidRPr="00FE3BE0" w:rsidDel="00A00267" w:rsidRDefault="0073554E" w:rsidP="0073554E">
            <w:pPr>
              <w:jc w:val="center"/>
              <w:rPr>
                <w:rFonts w:cs="Arial"/>
                <w:sz w:val="24"/>
                <w:szCs w:val="24"/>
              </w:rPr>
            </w:pPr>
            <w:r w:rsidRPr="00FE3BE0">
              <w:rPr>
                <w:rFonts w:cs="Arial"/>
                <w:sz w:val="24"/>
                <w:szCs w:val="24"/>
              </w:rPr>
              <w:t xml:space="preserve">&amp; </w:t>
            </w:r>
            <w:r w:rsidR="00AD0EEE" w:rsidRPr="00FE3BE0">
              <w:rPr>
                <w:rFonts w:cs="Arial"/>
                <w:sz w:val="24"/>
                <w:szCs w:val="24"/>
              </w:rPr>
              <w:t>VI</w:t>
            </w:r>
          </w:p>
        </w:tc>
      </w:tr>
      <w:tr w:rsidR="001C727E" w:rsidRPr="007D72DB" w14:paraId="3436DFF3" w14:textId="77777777" w:rsidTr="007D72DB">
        <w:trPr>
          <w:trHeight w:val="1606"/>
        </w:trPr>
        <w:tc>
          <w:tcPr>
            <w:tcW w:w="383" w:type="pct"/>
            <w:shd w:val="clear" w:color="auto" w:fill="auto"/>
            <w:vAlign w:val="center"/>
          </w:tcPr>
          <w:p w14:paraId="3E3F9F34" w14:textId="5F534352" w:rsidR="001C727E" w:rsidRPr="00FE3BE0" w:rsidRDefault="001C727E" w:rsidP="0073554E">
            <w:pPr>
              <w:jc w:val="center"/>
              <w:rPr>
                <w:rFonts w:cs="Arial"/>
                <w:b/>
                <w:sz w:val="24"/>
                <w:szCs w:val="24"/>
              </w:rPr>
            </w:pPr>
            <w:r w:rsidRPr="00FE3BE0">
              <w:rPr>
                <w:rFonts w:cs="Arial"/>
                <w:b/>
                <w:sz w:val="24"/>
                <w:szCs w:val="24"/>
              </w:rPr>
              <w:t>2016</w:t>
            </w:r>
          </w:p>
        </w:tc>
        <w:tc>
          <w:tcPr>
            <w:tcW w:w="746" w:type="pct"/>
            <w:shd w:val="clear" w:color="auto" w:fill="auto"/>
            <w:vAlign w:val="center"/>
          </w:tcPr>
          <w:p w14:paraId="29CB6FC0" w14:textId="7FF61E70" w:rsidR="001C727E" w:rsidRPr="00FE3BE0" w:rsidRDefault="0073554E" w:rsidP="0073554E">
            <w:pPr>
              <w:jc w:val="center"/>
              <w:rPr>
                <w:rFonts w:cs="Arial"/>
                <w:sz w:val="24"/>
                <w:szCs w:val="24"/>
              </w:rPr>
            </w:pPr>
            <w:r w:rsidRPr="00FE3BE0">
              <w:rPr>
                <w:rFonts w:cs="Arial"/>
                <w:b/>
                <w:sz w:val="24"/>
                <w:szCs w:val="24"/>
              </w:rPr>
              <w:t xml:space="preserve">Mass </w:t>
            </w:r>
            <w:r w:rsidR="001C727E" w:rsidRPr="00FE3BE0">
              <w:rPr>
                <w:rFonts w:cs="Arial"/>
                <w:b/>
                <w:sz w:val="24"/>
                <w:szCs w:val="24"/>
              </w:rPr>
              <w:t>Casualty Incident</w:t>
            </w:r>
          </w:p>
        </w:tc>
        <w:tc>
          <w:tcPr>
            <w:tcW w:w="3172" w:type="pct"/>
            <w:vAlign w:val="center"/>
          </w:tcPr>
          <w:p w14:paraId="594D5072" w14:textId="77777777" w:rsidR="00705CF4" w:rsidRPr="00FE3BE0" w:rsidRDefault="00705CF4" w:rsidP="009B3F13">
            <w:pPr>
              <w:pStyle w:val="ListParagraph"/>
              <w:numPr>
                <w:ilvl w:val="0"/>
                <w:numId w:val="12"/>
              </w:numPr>
              <w:spacing w:line="240" w:lineRule="auto"/>
              <w:jc w:val="left"/>
              <w:rPr>
                <w:sz w:val="24"/>
                <w:szCs w:val="24"/>
              </w:rPr>
            </w:pPr>
            <w:r w:rsidRPr="00FE3BE0">
              <w:rPr>
                <w:sz w:val="24"/>
                <w:szCs w:val="24"/>
              </w:rPr>
              <w:t>Community Preparedness</w:t>
            </w:r>
          </w:p>
          <w:p w14:paraId="0614052D" w14:textId="77777777" w:rsidR="00705CF4" w:rsidRPr="00FE3BE0" w:rsidRDefault="00705CF4" w:rsidP="009B3F13">
            <w:pPr>
              <w:pStyle w:val="ListParagraph"/>
              <w:numPr>
                <w:ilvl w:val="0"/>
                <w:numId w:val="12"/>
              </w:numPr>
              <w:spacing w:line="240" w:lineRule="auto"/>
              <w:jc w:val="left"/>
              <w:rPr>
                <w:sz w:val="24"/>
                <w:szCs w:val="24"/>
              </w:rPr>
            </w:pPr>
            <w:r w:rsidRPr="00FE3BE0">
              <w:rPr>
                <w:sz w:val="24"/>
                <w:szCs w:val="24"/>
              </w:rPr>
              <w:t>Emergency Operations Coordination</w:t>
            </w:r>
          </w:p>
          <w:p w14:paraId="49174811" w14:textId="77777777" w:rsidR="00705CF4" w:rsidRPr="00FE3BE0" w:rsidRDefault="00705CF4" w:rsidP="009B3F13">
            <w:pPr>
              <w:pStyle w:val="ListParagraph"/>
              <w:numPr>
                <w:ilvl w:val="0"/>
                <w:numId w:val="12"/>
              </w:numPr>
              <w:spacing w:line="240" w:lineRule="auto"/>
              <w:jc w:val="left"/>
              <w:rPr>
                <w:sz w:val="24"/>
                <w:szCs w:val="24"/>
              </w:rPr>
            </w:pPr>
            <w:r w:rsidRPr="00FE3BE0">
              <w:rPr>
                <w:sz w:val="24"/>
                <w:szCs w:val="24"/>
              </w:rPr>
              <w:t>Emergency Medical Services</w:t>
            </w:r>
            <w:r w:rsidRPr="00FE3BE0">
              <w:rPr>
                <w:sz w:val="24"/>
                <w:szCs w:val="24"/>
              </w:rPr>
              <w:tab/>
            </w:r>
          </w:p>
          <w:p w14:paraId="1D34A146" w14:textId="77777777" w:rsidR="00705CF4" w:rsidRPr="00FE3BE0" w:rsidRDefault="00705CF4" w:rsidP="009B3F13">
            <w:pPr>
              <w:pStyle w:val="ListParagraph"/>
              <w:numPr>
                <w:ilvl w:val="0"/>
                <w:numId w:val="12"/>
              </w:numPr>
              <w:spacing w:line="240" w:lineRule="auto"/>
              <w:jc w:val="left"/>
              <w:rPr>
                <w:sz w:val="24"/>
                <w:szCs w:val="24"/>
              </w:rPr>
            </w:pPr>
            <w:r w:rsidRPr="00FE3BE0">
              <w:rPr>
                <w:sz w:val="24"/>
                <w:szCs w:val="24"/>
              </w:rPr>
              <w:t>Medical Surge</w:t>
            </w:r>
          </w:p>
          <w:p w14:paraId="071BBFE4" w14:textId="77777777" w:rsidR="00705CF4" w:rsidRPr="00FE3BE0" w:rsidRDefault="00705CF4" w:rsidP="009B3F13">
            <w:pPr>
              <w:pStyle w:val="ListParagraph"/>
              <w:numPr>
                <w:ilvl w:val="0"/>
                <w:numId w:val="12"/>
              </w:numPr>
              <w:spacing w:line="240" w:lineRule="auto"/>
              <w:jc w:val="left"/>
              <w:rPr>
                <w:sz w:val="24"/>
                <w:szCs w:val="24"/>
              </w:rPr>
            </w:pPr>
            <w:r w:rsidRPr="00FE3BE0">
              <w:rPr>
                <w:sz w:val="24"/>
                <w:szCs w:val="24"/>
              </w:rPr>
              <w:t>Healthcare System Preparedness</w:t>
            </w:r>
          </w:p>
          <w:p w14:paraId="4E9D4FEA" w14:textId="77777777" w:rsidR="00705CF4" w:rsidRPr="00FE3BE0" w:rsidRDefault="00705CF4" w:rsidP="009B3F13">
            <w:pPr>
              <w:pStyle w:val="ListParagraph"/>
              <w:numPr>
                <w:ilvl w:val="0"/>
                <w:numId w:val="12"/>
              </w:numPr>
              <w:spacing w:line="240" w:lineRule="auto"/>
              <w:jc w:val="left"/>
              <w:rPr>
                <w:sz w:val="24"/>
                <w:szCs w:val="24"/>
              </w:rPr>
            </w:pPr>
            <w:r w:rsidRPr="00FE3BE0">
              <w:rPr>
                <w:sz w:val="24"/>
                <w:szCs w:val="24"/>
              </w:rPr>
              <w:t>Operational Coordination</w:t>
            </w:r>
          </w:p>
          <w:p w14:paraId="7C8AD4C4" w14:textId="77777777" w:rsidR="001C727E" w:rsidRPr="00FE3BE0" w:rsidRDefault="001C727E" w:rsidP="001C727E">
            <w:pPr>
              <w:spacing w:before="40" w:after="60"/>
              <w:jc w:val="left"/>
              <w:rPr>
                <w:rFonts w:cs="Arial"/>
                <w:sz w:val="24"/>
                <w:szCs w:val="24"/>
              </w:rPr>
            </w:pPr>
          </w:p>
        </w:tc>
        <w:tc>
          <w:tcPr>
            <w:tcW w:w="699" w:type="pct"/>
            <w:vAlign w:val="center"/>
          </w:tcPr>
          <w:p w14:paraId="75114FFF" w14:textId="49A52173" w:rsidR="001C727E" w:rsidRPr="00FE3BE0" w:rsidRDefault="00705CF4" w:rsidP="0073554E">
            <w:pPr>
              <w:jc w:val="center"/>
              <w:rPr>
                <w:rFonts w:cs="Arial"/>
                <w:sz w:val="24"/>
                <w:szCs w:val="24"/>
              </w:rPr>
            </w:pPr>
            <w:r w:rsidRPr="00FE3BE0">
              <w:rPr>
                <w:rFonts w:cs="Arial"/>
                <w:sz w:val="24"/>
                <w:szCs w:val="24"/>
              </w:rPr>
              <w:t>N/A</w:t>
            </w:r>
          </w:p>
        </w:tc>
      </w:tr>
      <w:tr w:rsidR="001C727E" w:rsidRPr="007D72DB" w14:paraId="69D15DAF" w14:textId="77777777" w:rsidTr="007D72DB">
        <w:trPr>
          <w:trHeight w:val="2173"/>
        </w:trPr>
        <w:tc>
          <w:tcPr>
            <w:tcW w:w="383" w:type="pct"/>
            <w:shd w:val="clear" w:color="auto" w:fill="auto"/>
            <w:vAlign w:val="center"/>
          </w:tcPr>
          <w:p w14:paraId="42BE1ABC" w14:textId="71ABA8E5" w:rsidR="001C727E" w:rsidRPr="00FE3BE0" w:rsidRDefault="001C727E" w:rsidP="001C727E">
            <w:pPr>
              <w:jc w:val="center"/>
              <w:rPr>
                <w:rFonts w:cs="Arial"/>
                <w:b/>
                <w:sz w:val="24"/>
                <w:szCs w:val="24"/>
              </w:rPr>
            </w:pPr>
            <w:r w:rsidRPr="00FE3BE0">
              <w:rPr>
                <w:rFonts w:cs="Arial"/>
                <w:b/>
                <w:sz w:val="24"/>
                <w:szCs w:val="24"/>
              </w:rPr>
              <w:t>2017</w:t>
            </w:r>
          </w:p>
        </w:tc>
        <w:tc>
          <w:tcPr>
            <w:tcW w:w="746" w:type="pct"/>
            <w:shd w:val="clear" w:color="auto" w:fill="auto"/>
            <w:vAlign w:val="center"/>
          </w:tcPr>
          <w:p w14:paraId="121472BF" w14:textId="074C0250" w:rsidR="001C727E" w:rsidRPr="00FE3BE0" w:rsidRDefault="001C727E" w:rsidP="0073554E">
            <w:pPr>
              <w:ind w:left="72"/>
              <w:jc w:val="center"/>
              <w:rPr>
                <w:rFonts w:cs="Arial"/>
                <w:sz w:val="24"/>
                <w:szCs w:val="24"/>
              </w:rPr>
            </w:pPr>
            <w:r w:rsidRPr="00FE3BE0">
              <w:rPr>
                <w:rFonts w:cs="Arial"/>
                <w:b/>
                <w:sz w:val="24"/>
                <w:szCs w:val="24"/>
              </w:rPr>
              <w:t>Terrorist Incident</w:t>
            </w:r>
          </w:p>
        </w:tc>
        <w:tc>
          <w:tcPr>
            <w:tcW w:w="3172" w:type="pct"/>
            <w:vAlign w:val="center"/>
          </w:tcPr>
          <w:p w14:paraId="53B7E4FF" w14:textId="77777777" w:rsidR="00705CF4" w:rsidRPr="00FE3BE0" w:rsidRDefault="00705CF4" w:rsidP="009B3F13">
            <w:pPr>
              <w:pStyle w:val="ListParagraph"/>
              <w:numPr>
                <w:ilvl w:val="0"/>
                <w:numId w:val="13"/>
              </w:numPr>
              <w:spacing w:line="240" w:lineRule="auto"/>
              <w:jc w:val="left"/>
              <w:rPr>
                <w:sz w:val="24"/>
                <w:szCs w:val="24"/>
              </w:rPr>
            </w:pPr>
            <w:r w:rsidRPr="00FE3BE0">
              <w:rPr>
                <w:sz w:val="24"/>
                <w:szCs w:val="24"/>
              </w:rPr>
              <w:t>Information Sharing</w:t>
            </w:r>
          </w:p>
          <w:p w14:paraId="50D8E78C" w14:textId="77777777" w:rsidR="00705CF4" w:rsidRPr="00FE3BE0" w:rsidRDefault="00705CF4" w:rsidP="009B3F13">
            <w:pPr>
              <w:pStyle w:val="ListParagraph"/>
              <w:numPr>
                <w:ilvl w:val="0"/>
                <w:numId w:val="13"/>
              </w:numPr>
              <w:spacing w:line="240" w:lineRule="auto"/>
              <w:jc w:val="left"/>
              <w:rPr>
                <w:sz w:val="24"/>
                <w:szCs w:val="24"/>
              </w:rPr>
            </w:pPr>
            <w:r w:rsidRPr="00FE3BE0">
              <w:rPr>
                <w:sz w:val="24"/>
                <w:szCs w:val="24"/>
              </w:rPr>
              <w:t>Emergency Public Information and Warning</w:t>
            </w:r>
          </w:p>
          <w:p w14:paraId="2C37C8B1" w14:textId="77777777" w:rsidR="00705CF4" w:rsidRPr="00FE3BE0" w:rsidRDefault="00705CF4" w:rsidP="009B3F13">
            <w:pPr>
              <w:pStyle w:val="ListParagraph"/>
              <w:numPr>
                <w:ilvl w:val="0"/>
                <w:numId w:val="13"/>
              </w:numPr>
              <w:spacing w:line="240" w:lineRule="auto"/>
              <w:jc w:val="left"/>
              <w:rPr>
                <w:sz w:val="24"/>
                <w:szCs w:val="24"/>
              </w:rPr>
            </w:pPr>
            <w:r w:rsidRPr="00FE3BE0">
              <w:rPr>
                <w:sz w:val="24"/>
                <w:szCs w:val="24"/>
              </w:rPr>
              <w:t xml:space="preserve">Community Recovery </w:t>
            </w:r>
            <w:r w:rsidRPr="00FE3BE0">
              <w:rPr>
                <w:sz w:val="24"/>
                <w:szCs w:val="24"/>
              </w:rPr>
              <w:tab/>
            </w:r>
          </w:p>
          <w:p w14:paraId="731AF82D" w14:textId="77777777" w:rsidR="00705CF4" w:rsidRPr="00FE3BE0" w:rsidRDefault="00705CF4" w:rsidP="009B3F13">
            <w:pPr>
              <w:pStyle w:val="ListParagraph"/>
              <w:numPr>
                <w:ilvl w:val="0"/>
                <w:numId w:val="13"/>
              </w:numPr>
              <w:spacing w:line="240" w:lineRule="auto"/>
              <w:jc w:val="left"/>
              <w:rPr>
                <w:sz w:val="24"/>
                <w:szCs w:val="24"/>
              </w:rPr>
            </w:pPr>
            <w:r w:rsidRPr="00FE3BE0">
              <w:rPr>
                <w:sz w:val="24"/>
                <w:szCs w:val="24"/>
              </w:rPr>
              <w:t>Emergency Operations Coordination</w:t>
            </w:r>
          </w:p>
          <w:p w14:paraId="6CAFDA4B" w14:textId="77777777" w:rsidR="00705CF4" w:rsidRPr="00FE3BE0" w:rsidRDefault="00705CF4" w:rsidP="009B3F13">
            <w:pPr>
              <w:pStyle w:val="ListParagraph"/>
              <w:numPr>
                <w:ilvl w:val="0"/>
                <w:numId w:val="13"/>
              </w:numPr>
              <w:spacing w:line="240" w:lineRule="auto"/>
              <w:jc w:val="left"/>
              <w:rPr>
                <w:sz w:val="24"/>
                <w:szCs w:val="24"/>
              </w:rPr>
            </w:pPr>
            <w:r w:rsidRPr="00FE3BE0">
              <w:rPr>
                <w:sz w:val="24"/>
                <w:szCs w:val="24"/>
              </w:rPr>
              <w:t>Healthcare System Preparedness</w:t>
            </w:r>
          </w:p>
          <w:p w14:paraId="3582B1B3" w14:textId="09207EA5" w:rsidR="001C727E" w:rsidRPr="00FE3BE0" w:rsidRDefault="00705CF4" w:rsidP="009B3F13">
            <w:pPr>
              <w:pStyle w:val="ListParagraph"/>
              <w:numPr>
                <w:ilvl w:val="0"/>
                <w:numId w:val="13"/>
              </w:numPr>
              <w:spacing w:line="240" w:lineRule="auto"/>
              <w:jc w:val="left"/>
              <w:rPr>
                <w:sz w:val="24"/>
                <w:szCs w:val="24"/>
              </w:rPr>
            </w:pPr>
            <w:r w:rsidRPr="00FE3BE0">
              <w:rPr>
                <w:sz w:val="24"/>
                <w:szCs w:val="24"/>
              </w:rPr>
              <w:t>Mass Care Services</w:t>
            </w:r>
          </w:p>
        </w:tc>
        <w:tc>
          <w:tcPr>
            <w:tcW w:w="699" w:type="pct"/>
            <w:vAlign w:val="center"/>
          </w:tcPr>
          <w:p w14:paraId="71E7EF39" w14:textId="1AA78EAE" w:rsidR="001C727E" w:rsidRPr="00FE3BE0" w:rsidRDefault="00705CF4" w:rsidP="0073554E">
            <w:pPr>
              <w:jc w:val="center"/>
              <w:rPr>
                <w:rFonts w:cs="Arial"/>
                <w:sz w:val="24"/>
                <w:szCs w:val="24"/>
              </w:rPr>
            </w:pPr>
            <w:r w:rsidRPr="00FE3BE0">
              <w:rPr>
                <w:rFonts w:cs="Arial"/>
                <w:sz w:val="24"/>
                <w:szCs w:val="24"/>
              </w:rPr>
              <w:t>N/A</w:t>
            </w:r>
          </w:p>
        </w:tc>
      </w:tr>
      <w:tr w:rsidR="001C5D6A" w:rsidRPr="007D72DB" w14:paraId="76DBDB38" w14:textId="77777777" w:rsidTr="007D72DB">
        <w:trPr>
          <w:trHeight w:val="2173"/>
        </w:trPr>
        <w:tc>
          <w:tcPr>
            <w:tcW w:w="383" w:type="pct"/>
            <w:shd w:val="clear" w:color="auto" w:fill="auto"/>
            <w:vAlign w:val="center"/>
          </w:tcPr>
          <w:p w14:paraId="5B16A887" w14:textId="153FA6D5" w:rsidR="001C5D6A" w:rsidRPr="00FE3BE0" w:rsidRDefault="001C5D6A" w:rsidP="001C727E">
            <w:pPr>
              <w:jc w:val="center"/>
              <w:rPr>
                <w:rFonts w:cs="Arial"/>
                <w:b/>
                <w:sz w:val="24"/>
                <w:szCs w:val="24"/>
              </w:rPr>
            </w:pPr>
            <w:r w:rsidRPr="00FE3BE0">
              <w:rPr>
                <w:rFonts w:cs="Arial"/>
                <w:b/>
                <w:sz w:val="24"/>
                <w:szCs w:val="24"/>
              </w:rPr>
              <w:t>2018</w:t>
            </w:r>
          </w:p>
        </w:tc>
        <w:tc>
          <w:tcPr>
            <w:tcW w:w="746" w:type="pct"/>
            <w:shd w:val="clear" w:color="auto" w:fill="auto"/>
            <w:vAlign w:val="center"/>
          </w:tcPr>
          <w:p w14:paraId="0F4C2281" w14:textId="00EFD6DA" w:rsidR="001C5D6A" w:rsidRPr="00FE3BE0" w:rsidRDefault="001C5D6A" w:rsidP="0073554E">
            <w:pPr>
              <w:ind w:left="72"/>
              <w:jc w:val="center"/>
              <w:rPr>
                <w:rFonts w:cs="Arial"/>
                <w:b/>
                <w:sz w:val="24"/>
                <w:szCs w:val="24"/>
              </w:rPr>
            </w:pPr>
            <w:r w:rsidRPr="00FE3BE0">
              <w:rPr>
                <w:rFonts w:cs="Arial"/>
                <w:b/>
                <w:sz w:val="24"/>
                <w:szCs w:val="24"/>
              </w:rPr>
              <w:t xml:space="preserve">Infectious Disease </w:t>
            </w:r>
          </w:p>
        </w:tc>
        <w:tc>
          <w:tcPr>
            <w:tcW w:w="3172" w:type="pct"/>
            <w:vAlign w:val="center"/>
          </w:tcPr>
          <w:p w14:paraId="7EA76D72" w14:textId="77777777" w:rsidR="001C5D6A" w:rsidRPr="00FE3BE0" w:rsidRDefault="001C5D6A" w:rsidP="001C5D6A">
            <w:pPr>
              <w:pStyle w:val="ListParagraph"/>
              <w:numPr>
                <w:ilvl w:val="0"/>
                <w:numId w:val="33"/>
              </w:numPr>
              <w:spacing w:line="240" w:lineRule="auto"/>
              <w:jc w:val="left"/>
              <w:rPr>
                <w:sz w:val="24"/>
                <w:szCs w:val="24"/>
              </w:rPr>
            </w:pPr>
            <w:r w:rsidRPr="00FE3BE0">
              <w:rPr>
                <w:sz w:val="24"/>
                <w:szCs w:val="24"/>
              </w:rPr>
              <w:t xml:space="preserve">Responder Safety and Health </w:t>
            </w:r>
          </w:p>
          <w:p w14:paraId="4B79DC97" w14:textId="77777777" w:rsidR="001C5D6A" w:rsidRPr="00FE3BE0" w:rsidRDefault="001C5D6A" w:rsidP="001C5D6A">
            <w:pPr>
              <w:pStyle w:val="ListParagraph"/>
              <w:numPr>
                <w:ilvl w:val="0"/>
                <w:numId w:val="33"/>
              </w:numPr>
              <w:spacing w:line="240" w:lineRule="auto"/>
              <w:jc w:val="left"/>
              <w:rPr>
                <w:sz w:val="24"/>
                <w:szCs w:val="24"/>
              </w:rPr>
            </w:pPr>
            <w:r w:rsidRPr="00FE3BE0">
              <w:rPr>
                <w:sz w:val="24"/>
                <w:szCs w:val="24"/>
              </w:rPr>
              <w:t xml:space="preserve">Non-Pharmaceutical Intervention </w:t>
            </w:r>
          </w:p>
          <w:p w14:paraId="1BFDECC8" w14:textId="77777777" w:rsidR="001C5D6A" w:rsidRPr="00FE3BE0" w:rsidRDefault="001C5D6A" w:rsidP="001C5D6A">
            <w:pPr>
              <w:pStyle w:val="ListParagraph"/>
              <w:numPr>
                <w:ilvl w:val="0"/>
                <w:numId w:val="33"/>
              </w:numPr>
              <w:spacing w:line="240" w:lineRule="auto"/>
              <w:jc w:val="left"/>
              <w:rPr>
                <w:sz w:val="24"/>
                <w:szCs w:val="24"/>
              </w:rPr>
            </w:pPr>
            <w:r w:rsidRPr="00FE3BE0">
              <w:rPr>
                <w:sz w:val="24"/>
                <w:szCs w:val="24"/>
              </w:rPr>
              <w:t>Public Health &amp; Epidemiology</w:t>
            </w:r>
          </w:p>
          <w:p w14:paraId="24970A0E" w14:textId="77777777" w:rsidR="001C5D6A" w:rsidRPr="00FE3BE0" w:rsidRDefault="001C5D6A" w:rsidP="001C5D6A">
            <w:pPr>
              <w:pStyle w:val="ListParagraph"/>
              <w:numPr>
                <w:ilvl w:val="0"/>
                <w:numId w:val="33"/>
              </w:numPr>
              <w:spacing w:line="240" w:lineRule="auto"/>
              <w:jc w:val="left"/>
              <w:rPr>
                <w:sz w:val="24"/>
                <w:szCs w:val="24"/>
              </w:rPr>
            </w:pPr>
            <w:r w:rsidRPr="00FE3BE0">
              <w:rPr>
                <w:sz w:val="24"/>
                <w:szCs w:val="24"/>
              </w:rPr>
              <w:t xml:space="preserve">Environmental Response/Health and Safety Emergency Operations Coordination </w:t>
            </w:r>
          </w:p>
          <w:p w14:paraId="76D47212" w14:textId="592CBE8D" w:rsidR="001C5D6A" w:rsidRPr="00FE3BE0" w:rsidRDefault="001C5D6A" w:rsidP="001C5D6A">
            <w:pPr>
              <w:pStyle w:val="ListParagraph"/>
              <w:numPr>
                <w:ilvl w:val="0"/>
                <w:numId w:val="33"/>
              </w:numPr>
              <w:spacing w:line="240" w:lineRule="auto"/>
              <w:jc w:val="left"/>
              <w:rPr>
                <w:sz w:val="24"/>
                <w:szCs w:val="24"/>
              </w:rPr>
            </w:pPr>
            <w:r w:rsidRPr="00FE3BE0">
              <w:rPr>
                <w:sz w:val="24"/>
                <w:szCs w:val="24"/>
              </w:rPr>
              <w:t>Information Sharing</w:t>
            </w:r>
          </w:p>
        </w:tc>
        <w:tc>
          <w:tcPr>
            <w:tcW w:w="699" w:type="pct"/>
            <w:vAlign w:val="center"/>
          </w:tcPr>
          <w:p w14:paraId="4F291A1E" w14:textId="1BDBC675" w:rsidR="001C5D6A" w:rsidRPr="00FE3BE0" w:rsidRDefault="001C5D6A" w:rsidP="0073554E">
            <w:pPr>
              <w:jc w:val="center"/>
              <w:rPr>
                <w:rFonts w:cs="Arial"/>
                <w:sz w:val="24"/>
                <w:szCs w:val="24"/>
              </w:rPr>
            </w:pPr>
            <w:r w:rsidRPr="00FE3BE0">
              <w:rPr>
                <w:rFonts w:cs="Arial"/>
                <w:sz w:val="24"/>
                <w:szCs w:val="24"/>
              </w:rPr>
              <w:t>Region IV</w:t>
            </w:r>
          </w:p>
        </w:tc>
      </w:tr>
      <w:tr w:rsidR="000752D7" w:rsidRPr="007D72DB" w14:paraId="340D1470" w14:textId="77777777" w:rsidTr="0009612C">
        <w:trPr>
          <w:cantSplit/>
          <w:trHeight w:val="2173"/>
        </w:trPr>
        <w:tc>
          <w:tcPr>
            <w:tcW w:w="383" w:type="pct"/>
            <w:shd w:val="clear" w:color="auto" w:fill="auto"/>
            <w:vAlign w:val="center"/>
          </w:tcPr>
          <w:p w14:paraId="1DCDD485" w14:textId="40BCE809" w:rsidR="000752D7" w:rsidRPr="00FE3BE0" w:rsidRDefault="000752D7" w:rsidP="001C727E">
            <w:pPr>
              <w:jc w:val="center"/>
              <w:rPr>
                <w:rFonts w:cs="Arial"/>
                <w:b/>
                <w:sz w:val="24"/>
                <w:szCs w:val="24"/>
              </w:rPr>
            </w:pPr>
            <w:r w:rsidRPr="00FE3BE0">
              <w:rPr>
                <w:rFonts w:cs="Arial"/>
                <w:b/>
                <w:sz w:val="24"/>
                <w:szCs w:val="24"/>
              </w:rPr>
              <w:lastRenderedPageBreak/>
              <w:t>2019</w:t>
            </w:r>
          </w:p>
        </w:tc>
        <w:tc>
          <w:tcPr>
            <w:tcW w:w="746" w:type="pct"/>
            <w:shd w:val="clear" w:color="auto" w:fill="auto"/>
            <w:vAlign w:val="center"/>
          </w:tcPr>
          <w:p w14:paraId="7C5EBEF7" w14:textId="4427BAB7" w:rsidR="000752D7" w:rsidRPr="00FE3BE0" w:rsidRDefault="000752D7" w:rsidP="000752D7">
            <w:pPr>
              <w:ind w:left="72"/>
              <w:rPr>
                <w:rFonts w:cs="Arial"/>
                <w:b/>
                <w:sz w:val="24"/>
                <w:szCs w:val="24"/>
              </w:rPr>
            </w:pPr>
            <w:r w:rsidRPr="00FE3BE0">
              <w:rPr>
                <w:rFonts w:cs="Arial"/>
                <w:b/>
                <w:sz w:val="24"/>
                <w:szCs w:val="24"/>
              </w:rPr>
              <w:t xml:space="preserve">Flood </w:t>
            </w:r>
          </w:p>
        </w:tc>
        <w:tc>
          <w:tcPr>
            <w:tcW w:w="3172" w:type="pct"/>
            <w:vAlign w:val="center"/>
          </w:tcPr>
          <w:p w14:paraId="3C5FB7C6" w14:textId="77777777" w:rsidR="000752D7" w:rsidRPr="00FE3BE0" w:rsidRDefault="000752D7" w:rsidP="000752D7">
            <w:pPr>
              <w:pStyle w:val="ListParagraph"/>
              <w:numPr>
                <w:ilvl w:val="0"/>
                <w:numId w:val="33"/>
              </w:numPr>
              <w:spacing w:line="240" w:lineRule="auto"/>
              <w:jc w:val="left"/>
              <w:rPr>
                <w:sz w:val="24"/>
                <w:szCs w:val="24"/>
              </w:rPr>
            </w:pPr>
            <w:r w:rsidRPr="00FE3BE0">
              <w:rPr>
                <w:sz w:val="24"/>
                <w:szCs w:val="24"/>
              </w:rPr>
              <w:t>Public Health and Medical Services</w:t>
            </w:r>
          </w:p>
          <w:p w14:paraId="3F1A07AA" w14:textId="77777777" w:rsidR="000752D7" w:rsidRPr="00FE3BE0" w:rsidRDefault="000752D7" w:rsidP="000752D7">
            <w:pPr>
              <w:pStyle w:val="ListParagraph"/>
              <w:numPr>
                <w:ilvl w:val="0"/>
                <w:numId w:val="33"/>
              </w:numPr>
              <w:spacing w:line="240" w:lineRule="auto"/>
              <w:jc w:val="left"/>
              <w:rPr>
                <w:sz w:val="24"/>
                <w:szCs w:val="24"/>
              </w:rPr>
            </w:pPr>
            <w:r w:rsidRPr="00FE3BE0">
              <w:rPr>
                <w:sz w:val="24"/>
                <w:szCs w:val="24"/>
              </w:rPr>
              <w:t>Mass Care Services</w:t>
            </w:r>
          </w:p>
          <w:p w14:paraId="59D102F7" w14:textId="64A4CB57" w:rsidR="000752D7" w:rsidRPr="00FE3BE0" w:rsidRDefault="000752D7" w:rsidP="000752D7">
            <w:pPr>
              <w:pStyle w:val="ListParagraph"/>
              <w:numPr>
                <w:ilvl w:val="0"/>
                <w:numId w:val="33"/>
              </w:numPr>
              <w:spacing w:line="240" w:lineRule="auto"/>
              <w:jc w:val="left"/>
              <w:rPr>
                <w:sz w:val="24"/>
                <w:szCs w:val="24"/>
              </w:rPr>
            </w:pPr>
            <w:r w:rsidRPr="00FE3BE0">
              <w:rPr>
                <w:sz w:val="24"/>
                <w:szCs w:val="24"/>
              </w:rPr>
              <w:t>Public/Private Services and Resources</w:t>
            </w:r>
          </w:p>
        </w:tc>
        <w:tc>
          <w:tcPr>
            <w:tcW w:w="699" w:type="pct"/>
            <w:vAlign w:val="center"/>
          </w:tcPr>
          <w:p w14:paraId="426B93AC" w14:textId="3FD24619" w:rsidR="000752D7" w:rsidRPr="00FE3BE0" w:rsidRDefault="000752D7" w:rsidP="0073554E">
            <w:pPr>
              <w:jc w:val="center"/>
              <w:rPr>
                <w:rFonts w:cs="Arial"/>
                <w:sz w:val="24"/>
                <w:szCs w:val="24"/>
              </w:rPr>
            </w:pPr>
            <w:r w:rsidRPr="00FE3BE0">
              <w:rPr>
                <w:rFonts w:cs="Arial"/>
                <w:sz w:val="24"/>
                <w:szCs w:val="24"/>
              </w:rPr>
              <w:t xml:space="preserve">Region V </w:t>
            </w:r>
          </w:p>
        </w:tc>
      </w:tr>
    </w:tbl>
    <w:p w14:paraId="7D73EA35" w14:textId="77777777" w:rsidR="00535ECC" w:rsidRDefault="00535ECC" w:rsidP="001C5D6A">
      <w:pPr>
        <w:pStyle w:val="Heading1"/>
        <w:rPr>
          <w:rFonts w:eastAsia="Arial"/>
        </w:rPr>
      </w:pPr>
    </w:p>
    <w:p w14:paraId="34258534" w14:textId="77777777" w:rsidR="00535ECC" w:rsidRDefault="00535ECC">
      <w:pPr>
        <w:spacing w:line="240" w:lineRule="auto"/>
        <w:jc w:val="left"/>
        <w:rPr>
          <w:rFonts w:eastAsia="Arial"/>
          <w:color w:val="002060"/>
          <w:sz w:val="44"/>
          <w:szCs w:val="36"/>
        </w:rPr>
      </w:pPr>
      <w:r>
        <w:rPr>
          <w:rFonts w:eastAsia="Arial"/>
        </w:rPr>
        <w:br w:type="page"/>
      </w:r>
    </w:p>
    <w:p w14:paraId="12641C88" w14:textId="62ECDEA0" w:rsidR="00AD0EEE" w:rsidRDefault="001C5D6A" w:rsidP="001C5D6A">
      <w:pPr>
        <w:pStyle w:val="Heading1"/>
        <w:rPr>
          <w:rFonts w:eastAsia="Arial"/>
        </w:rPr>
      </w:pPr>
      <w:bookmarkStart w:id="37" w:name="_Toc122099512"/>
      <w:r>
        <w:rPr>
          <w:rFonts w:eastAsia="Arial"/>
        </w:rPr>
        <w:lastRenderedPageBreak/>
        <w:t>Appendix B: CAL OES Mutual Aid Region Map</w:t>
      </w:r>
      <w:bookmarkEnd w:id="37"/>
    </w:p>
    <w:p w14:paraId="6D4F21E0" w14:textId="0FA4603D" w:rsidR="001C5D6A" w:rsidRPr="001C5D6A" w:rsidRDefault="001C5D6A" w:rsidP="001C5D6A">
      <w:r>
        <w:rPr>
          <w:noProof/>
        </w:rPr>
        <w:drawing>
          <wp:inline distT="0" distB="0" distL="0" distR="0" wp14:anchorId="300CC892" wp14:editId="538CD1FD">
            <wp:extent cx="5765800" cy="7057465"/>
            <wp:effectExtent l="0" t="0" r="6350" b="0"/>
            <wp:docPr id="6" name="Picture 6" descr="CAL OES Regio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L OES Region Map"/>
                    <pic:cNvPicPr/>
                  </pic:nvPicPr>
                  <pic:blipFill>
                    <a:blip r:embed="rId15"/>
                    <a:stretch>
                      <a:fillRect/>
                    </a:stretch>
                  </pic:blipFill>
                  <pic:spPr>
                    <a:xfrm>
                      <a:off x="0" y="0"/>
                      <a:ext cx="5771379" cy="7064294"/>
                    </a:xfrm>
                    <a:prstGeom prst="rect">
                      <a:avLst/>
                    </a:prstGeom>
                  </pic:spPr>
                </pic:pic>
              </a:graphicData>
            </a:graphic>
          </wp:inline>
        </w:drawing>
      </w:r>
    </w:p>
    <w:sectPr w:rsidR="001C5D6A" w:rsidRPr="001C5D6A" w:rsidSect="00A9793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B0ABF" w14:textId="77777777" w:rsidR="007D68CB" w:rsidRDefault="007D68CB" w:rsidP="00D34434">
      <w:pPr>
        <w:spacing w:line="240" w:lineRule="auto"/>
      </w:pPr>
      <w:r>
        <w:separator/>
      </w:r>
    </w:p>
  </w:endnote>
  <w:endnote w:type="continuationSeparator" w:id="0">
    <w:p w14:paraId="420CFEDC" w14:textId="77777777" w:rsidR="007D68CB" w:rsidRDefault="007D68CB" w:rsidP="00D34434">
      <w:pPr>
        <w:spacing w:line="240" w:lineRule="auto"/>
      </w:pPr>
      <w:r>
        <w:continuationSeparator/>
      </w:r>
    </w:p>
  </w:endnote>
  <w:endnote w:type="continuationNotice" w:id="1">
    <w:p w14:paraId="3F4EE857" w14:textId="77777777" w:rsidR="007D68CB" w:rsidRDefault="007D68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036632"/>
      <w:docPartObj>
        <w:docPartGallery w:val="Page Numbers (Bottom of Page)"/>
        <w:docPartUnique/>
      </w:docPartObj>
    </w:sdtPr>
    <w:sdtEndPr>
      <w:rPr>
        <w:noProof/>
        <w:sz w:val="24"/>
        <w:szCs w:val="28"/>
      </w:rPr>
    </w:sdtEndPr>
    <w:sdtContent>
      <w:p w14:paraId="71172392" w14:textId="3EEC0371" w:rsidR="009C67E3" w:rsidRPr="005F2B32" w:rsidRDefault="009C67E3">
        <w:pPr>
          <w:pStyle w:val="Footer"/>
          <w:jc w:val="right"/>
          <w:rPr>
            <w:sz w:val="24"/>
            <w:szCs w:val="28"/>
          </w:rPr>
        </w:pPr>
        <w:r w:rsidRPr="005F2B32">
          <w:rPr>
            <w:sz w:val="24"/>
            <w:szCs w:val="28"/>
          </w:rPr>
          <w:fldChar w:fldCharType="begin"/>
        </w:r>
        <w:r w:rsidRPr="005F2B32">
          <w:rPr>
            <w:sz w:val="24"/>
            <w:szCs w:val="28"/>
          </w:rPr>
          <w:instrText xml:space="preserve"> PAGE   \* MERGEFORMAT </w:instrText>
        </w:r>
        <w:r w:rsidRPr="005F2B32">
          <w:rPr>
            <w:sz w:val="24"/>
            <w:szCs w:val="28"/>
          </w:rPr>
          <w:fldChar w:fldCharType="separate"/>
        </w:r>
        <w:r w:rsidR="002659B1" w:rsidRPr="005F2B32">
          <w:rPr>
            <w:noProof/>
            <w:sz w:val="24"/>
            <w:szCs w:val="28"/>
          </w:rPr>
          <w:t>13</w:t>
        </w:r>
        <w:r w:rsidRPr="005F2B32">
          <w:rPr>
            <w:noProof/>
            <w:sz w:val="24"/>
            <w:szCs w:val="28"/>
          </w:rPr>
          <w:fldChar w:fldCharType="end"/>
        </w:r>
      </w:p>
    </w:sdtContent>
  </w:sdt>
  <w:p w14:paraId="6F0D9F77" w14:textId="36D7C5BF" w:rsidR="009C67E3" w:rsidRDefault="0009612C">
    <w:pPr>
      <w:pStyle w:val="Footer"/>
    </w:pPr>
    <w:r>
      <w:rPr>
        <w:noProof/>
      </w:rPr>
      <w:drawing>
        <wp:inline distT="0" distB="0" distL="0" distR="0" wp14:anchorId="5375251F" wp14:editId="7291C018">
          <wp:extent cx="1245235" cy="542925"/>
          <wp:effectExtent l="0" t="0" r="0" b="9525"/>
          <wp:docPr id="7" name="Picture 7" descr="CDPH AND EMSA LOGO" title="CDPH AND EM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Jasons Stuff\Images\logo_CDPH_emsa_horozontal_125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235" cy="542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694664"/>
      <w:docPartObj>
        <w:docPartGallery w:val="Page Numbers (Bottom of Page)"/>
        <w:docPartUnique/>
      </w:docPartObj>
    </w:sdtPr>
    <w:sdtEndPr>
      <w:rPr>
        <w:noProof/>
        <w:sz w:val="24"/>
        <w:szCs w:val="28"/>
      </w:rPr>
    </w:sdtEndPr>
    <w:sdtContent>
      <w:p w14:paraId="497727C7" w14:textId="77777777" w:rsidR="001342CF" w:rsidRPr="005F2B32" w:rsidRDefault="001342CF">
        <w:pPr>
          <w:pStyle w:val="Footer"/>
          <w:jc w:val="right"/>
          <w:rPr>
            <w:sz w:val="24"/>
            <w:szCs w:val="28"/>
          </w:rPr>
        </w:pPr>
        <w:r w:rsidRPr="005F2B32">
          <w:rPr>
            <w:sz w:val="24"/>
            <w:szCs w:val="28"/>
          </w:rPr>
          <w:fldChar w:fldCharType="begin"/>
        </w:r>
        <w:r w:rsidRPr="005F2B32">
          <w:rPr>
            <w:sz w:val="24"/>
            <w:szCs w:val="28"/>
          </w:rPr>
          <w:instrText xml:space="preserve"> PAGE   \* MERGEFORMAT </w:instrText>
        </w:r>
        <w:r w:rsidRPr="005F2B32">
          <w:rPr>
            <w:sz w:val="24"/>
            <w:szCs w:val="28"/>
          </w:rPr>
          <w:fldChar w:fldCharType="separate"/>
        </w:r>
        <w:r w:rsidRPr="005F2B32">
          <w:rPr>
            <w:noProof/>
            <w:sz w:val="24"/>
            <w:szCs w:val="28"/>
          </w:rPr>
          <w:t>13</w:t>
        </w:r>
        <w:r w:rsidRPr="005F2B32">
          <w:rPr>
            <w:noProof/>
            <w:sz w:val="24"/>
            <w:szCs w:val="28"/>
          </w:rPr>
          <w:fldChar w:fldCharType="end"/>
        </w:r>
      </w:p>
    </w:sdtContent>
  </w:sdt>
  <w:p w14:paraId="7B3DC78B" w14:textId="365078F8" w:rsidR="001342CF" w:rsidRDefault="0009612C">
    <w:pPr>
      <w:pStyle w:val="Footer"/>
    </w:pPr>
    <w:r>
      <w:rPr>
        <w:noProof/>
      </w:rPr>
      <w:drawing>
        <wp:inline distT="0" distB="0" distL="0" distR="0" wp14:anchorId="483D968A" wp14:editId="072295F5">
          <wp:extent cx="1245235" cy="542925"/>
          <wp:effectExtent l="0" t="0" r="0" b="9525"/>
          <wp:docPr id="8" name="Picture 8" descr="CDPH AND EMSA LOGO" title="CDPH AND EM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Jasons Stuff\Images\logo_CDPH_emsa_horozontal_125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235" cy="542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24DA" w14:textId="77777777" w:rsidR="007D68CB" w:rsidRDefault="007D68CB" w:rsidP="00D34434">
      <w:pPr>
        <w:spacing w:line="240" w:lineRule="auto"/>
      </w:pPr>
      <w:r>
        <w:separator/>
      </w:r>
    </w:p>
  </w:footnote>
  <w:footnote w:type="continuationSeparator" w:id="0">
    <w:p w14:paraId="02A2CA7F" w14:textId="77777777" w:rsidR="007D68CB" w:rsidRDefault="007D68CB" w:rsidP="00D34434">
      <w:pPr>
        <w:spacing w:line="240" w:lineRule="auto"/>
      </w:pPr>
      <w:r>
        <w:continuationSeparator/>
      </w:r>
    </w:p>
  </w:footnote>
  <w:footnote w:type="continuationNotice" w:id="1">
    <w:p w14:paraId="24BE666C" w14:textId="77777777" w:rsidR="007D68CB" w:rsidRDefault="007D68CB">
      <w:pPr>
        <w:spacing w:line="240" w:lineRule="auto"/>
      </w:pPr>
    </w:p>
  </w:footnote>
  <w:footnote w:id="2">
    <w:p w14:paraId="62773E81" w14:textId="5AE80B7A" w:rsidR="0080072F" w:rsidRPr="0009612C" w:rsidRDefault="0080072F">
      <w:pPr>
        <w:pStyle w:val="FootnoteText"/>
        <w:rPr>
          <w:sz w:val="20"/>
          <w:szCs w:val="20"/>
        </w:rPr>
      </w:pPr>
      <w:r w:rsidRPr="0009612C">
        <w:rPr>
          <w:rStyle w:val="FootnoteReference"/>
          <w:sz w:val="20"/>
          <w:szCs w:val="20"/>
        </w:rPr>
        <w:footnoteRef/>
      </w:r>
      <w:r w:rsidRPr="0009612C">
        <w:rPr>
          <w:sz w:val="20"/>
          <w:szCs w:val="20"/>
        </w:rPr>
        <w:t xml:space="preserve"> </w:t>
      </w:r>
      <w:r w:rsidRPr="0009612C">
        <w:rPr>
          <w:color w:val="000000"/>
          <w:sz w:val="20"/>
          <w:szCs w:val="20"/>
        </w:rPr>
        <w:t>The latest guidance for the HPP grant now requires that healthcare coalitions create and test hazard or function-specific annexes each year. These topics have been pre-assigned, and the Statewide Medical and Health Exercise Planning Workgroup has attempted to align topics with chosen capabilities and scenarios for each year.</w:t>
      </w:r>
    </w:p>
  </w:footnote>
  <w:footnote w:id="3">
    <w:p w14:paraId="19ED0BFA" w14:textId="35F14761" w:rsidR="00BD6193" w:rsidRPr="0009612C" w:rsidRDefault="00BD6193" w:rsidP="00397E3D">
      <w:pPr>
        <w:pStyle w:val="FootnoteText"/>
        <w:spacing w:after="60"/>
        <w:rPr>
          <w:rFonts w:cs="Arial"/>
          <w:sz w:val="22"/>
          <w:szCs w:val="28"/>
          <w:vertAlign w:val="superscript"/>
        </w:rPr>
      </w:pPr>
      <w:r w:rsidRPr="0009612C">
        <w:rPr>
          <w:rStyle w:val="FootnoteReference"/>
          <w:sz w:val="20"/>
          <w:szCs w:val="20"/>
        </w:rPr>
        <w:footnoteRef/>
      </w:r>
      <w:r w:rsidRPr="0009612C">
        <w:rPr>
          <w:sz w:val="20"/>
          <w:szCs w:val="20"/>
        </w:rPr>
        <w:t xml:space="preserve"> “</w:t>
      </w:r>
      <w:r w:rsidRPr="0009612C">
        <w:rPr>
          <w:rFonts w:cs="Arial"/>
          <w:sz w:val="20"/>
          <w:szCs w:val="20"/>
        </w:rPr>
        <w:t>Other</w:t>
      </w:r>
      <w:r w:rsidRPr="0009612C">
        <w:rPr>
          <w:rFonts w:cs="Arial"/>
          <w:sz w:val="20"/>
        </w:rPr>
        <w:t xml:space="preserve"> Considerations” are inclusive of major grant requirements like UASI, TJC, or reflect capabilities SWMHE participants indicated they would like to test in the Forecasting Future SWMHE Programs Survey. These considerations are aligned with complimentary PHEP/HPP capabilities for each </w:t>
      </w:r>
      <w:proofErr w:type="gramStart"/>
      <w:r w:rsidRPr="0009612C">
        <w:rPr>
          <w:rFonts w:cs="Arial"/>
          <w:sz w:val="20"/>
        </w:rPr>
        <w:t>year, but</w:t>
      </w:r>
      <w:proofErr w:type="gramEnd"/>
      <w:r w:rsidRPr="0009612C">
        <w:rPr>
          <w:rFonts w:cs="Arial"/>
          <w:sz w:val="20"/>
        </w:rPr>
        <w:t xml:space="preserve"> can be tested (or not tested) according to needs established by each participating organization/agency. </w:t>
      </w:r>
      <w:r w:rsidRPr="0009612C">
        <w:rPr>
          <w:rFonts w:cs="Arial"/>
          <w:sz w:val="22"/>
          <w:szCs w:val="28"/>
          <w:vertAlign w:val="superscript"/>
        </w:rPr>
        <w:t xml:space="preserve"> </w:t>
      </w:r>
    </w:p>
  </w:footnote>
  <w:footnote w:id="4">
    <w:p w14:paraId="40ACF952" w14:textId="64AD6B60" w:rsidR="00BD6193" w:rsidRDefault="00BD6193" w:rsidP="00D34434">
      <w:pPr>
        <w:pStyle w:val="FootnoteText"/>
      </w:pPr>
      <w:r w:rsidRPr="0009612C">
        <w:rPr>
          <w:rStyle w:val="FootnoteReference"/>
          <w:sz w:val="20"/>
          <w:szCs w:val="20"/>
        </w:rPr>
        <w:footnoteRef/>
      </w:r>
      <w:r w:rsidRPr="0009612C">
        <w:rPr>
          <w:sz w:val="20"/>
          <w:szCs w:val="20"/>
        </w:rPr>
        <w:t xml:space="preserve"> </w:t>
      </w:r>
      <w:r w:rsidRPr="0009612C">
        <w:rPr>
          <w:rFonts w:cs="Arial"/>
          <w:sz w:val="20"/>
          <w:szCs w:val="20"/>
        </w:rPr>
        <w:t>California</w:t>
      </w:r>
      <w:r w:rsidRPr="0009612C">
        <w:rPr>
          <w:rFonts w:cs="Arial"/>
          <w:sz w:val="20"/>
        </w:rPr>
        <w:t xml:space="preserve"> Governor’s Office of Emergency Services (Cal OES) Mutual Aid Regions. </w:t>
      </w:r>
      <w:r w:rsidR="0080072F" w:rsidRPr="0009612C">
        <w:rPr>
          <w:rFonts w:cs="Arial"/>
          <w:sz w:val="20"/>
        </w:rPr>
        <w:t>See Appendix B for the Region 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DECE" w14:textId="5C835360" w:rsidR="00544A50" w:rsidRPr="002B1252" w:rsidRDefault="00C80D11" w:rsidP="00D453CC">
    <w:pPr>
      <w:pStyle w:val="BodyText"/>
      <w:spacing w:before="74"/>
      <w:ind w:left="0" w:firstLine="0"/>
      <w:rPr>
        <w:color w:val="002060"/>
        <w:sz w:val="24"/>
        <w:szCs w:val="24"/>
      </w:rPr>
    </w:pPr>
    <w:r w:rsidRPr="002B1252">
      <w:rPr>
        <w:color w:val="002060"/>
        <w:sz w:val="24"/>
        <w:szCs w:val="24"/>
      </w:rPr>
      <w:t>Statewide Medical and Health Exercise</w:t>
    </w:r>
    <w:r w:rsidR="00544A50" w:rsidRPr="002B1252">
      <w:rPr>
        <w:color w:val="002060"/>
        <w:spacing w:val="-12"/>
        <w:sz w:val="24"/>
        <w:szCs w:val="24"/>
      </w:rPr>
      <w:t xml:space="preserve"> </w:t>
    </w:r>
  </w:p>
  <w:p w14:paraId="57C1AD86" w14:textId="032A89BE" w:rsidR="00544A50" w:rsidRPr="002B1252" w:rsidRDefault="00C80D11" w:rsidP="00AC4D0C">
    <w:pPr>
      <w:pStyle w:val="Header"/>
      <w:rPr>
        <w:color w:val="002060"/>
        <w:sz w:val="24"/>
        <w:szCs w:val="28"/>
      </w:rPr>
    </w:pPr>
    <w:r w:rsidRPr="002B1252">
      <w:rPr>
        <w:color w:val="002060"/>
        <w:sz w:val="24"/>
        <w:szCs w:val="28"/>
      </w:rPr>
      <w:t xml:space="preserve">Multi-Year Integrated Preparedness Plan </w:t>
    </w:r>
    <w:r w:rsidR="006331A6">
      <w:rPr>
        <w:color w:val="002060"/>
        <w:sz w:val="24"/>
        <w:szCs w:val="28"/>
      </w:rPr>
      <w:t>(IPP)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C67A" w14:textId="65E7ED94" w:rsidR="001342CF" w:rsidRPr="002B1252" w:rsidRDefault="001342CF" w:rsidP="001342CF">
    <w:pPr>
      <w:pStyle w:val="BodyText"/>
      <w:spacing w:before="74"/>
      <w:ind w:left="0" w:firstLine="0"/>
      <w:rPr>
        <w:color w:val="002060"/>
        <w:sz w:val="24"/>
        <w:szCs w:val="24"/>
      </w:rPr>
    </w:pPr>
    <w:r w:rsidRPr="002B1252">
      <w:rPr>
        <w:color w:val="002060"/>
        <w:sz w:val="24"/>
        <w:szCs w:val="24"/>
      </w:rPr>
      <w:t>Statewide Medical and Health Exercise</w:t>
    </w:r>
    <w:r w:rsidRPr="002B1252">
      <w:rPr>
        <w:color w:val="002060"/>
        <w:spacing w:val="-12"/>
        <w:sz w:val="24"/>
        <w:szCs w:val="24"/>
      </w:rPr>
      <w:t xml:space="preserve"> </w:t>
    </w:r>
  </w:p>
  <w:p w14:paraId="144A0D9D" w14:textId="2F5DFA02" w:rsidR="001342CF" w:rsidRPr="002B1252" w:rsidRDefault="001342CF" w:rsidP="001342CF">
    <w:pPr>
      <w:pStyle w:val="Header"/>
      <w:rPr>
        <w:color w:val="002060"/>
        <w:sz w:val="24"/>
        <w:szCs w:val="28"/>
      </w:rPr>
    </w:pPr>
    <w:r w:rsidRPr="002B1252">
      <w:rPr>
        <w:color w:val="002060"/>
        <w:sz w:val="24"/>
        <w:szCs w:val="28"/>
      </w:rPr>
      <w:t xml:space="preserve">Multi-Year Integrated Preparedness Plan </w:t>
    </w:r>
    <w:r w:rsidR="00535ECC">
      <w:rPr>
        <w:color w:val="002060"/>
        <w:sz w:val="24"/>
        <w:szCs w:val="28"/>
      </w:rPr>
      <w:t>(IPP)</w:t>
    </w:r>
  </w:p>
  <w:p w14:paraId="40CB882A" w14:textId="77777777" w:rsidR="001342CF" w:rsidRDefault="001342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0EE3" w14:textId="46257CA9" w:rsidR="002B1252" w:rsidRPr="002B1252" w:rsidRDefault="002B1252" w:rsidP="002B1252">
    <w:pPr>
      <w:pStyle w:val="BodyText"/>
      <w:spacing w:before="74"/>
      <w:ind w:left="0" w:firstLine="0"/>
      <w:rPr>
        <w:color w:val="002060"/>
        <w:sz w:val="24"/>
        <w:szCs w:val="24"/>
      </w:rPr>
    </w:pPr>
    <w:r w:rsidRPr="002B1252">
      <w:rPr>
        <w:color w:val="002060"/>
        <w:sz w:val="24"/>
        <w:szCs w:val="24"/>
      </w:rPr>
      <w:t>Statewide Medical and Health Exercise</w:t>
    </w:r>
    <w:r w:rsidRPr="002B1252">
      <w:rPr>
        <w:color w:val="002060"/>
        <w:spacing w:val="-12"/>
        <w:sz w:val="24"/>
        <w:szCs w:val="24"/>
      </w:rPr>
      <w:t xml:space="preserve"> </w:t>
    </w:r>
  </w:p>
  <w:p w14:paraId="23E9016F" w14:textId="33FEBE4B" w:rsidR="00544A50" w:rsidRPr="007D72DB" w:rsidRDefault="002B1252" w:rsidP="002B1252">
    <w:pPr>
      <w:pStyle w:val="Header"/>
      <w:rPr>
        <w:color w:val="002060"/>
        <w:sz w:val="24"/>
        <w:szCs w:val="28"/>
      </w:rPr>
    </w:pPr>
    <w:r w:rsidRPr="002B1252">
      <w:rPr>
        <w:color w:val="002060"/>
        <w:sz w:val="24"/>
        <w:szCs w:val="28"/>
      </w:rPr>
      <w:t xml:space="preserve">Multi-Year Integrated Preparedness Plan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01E4" w14:textId="6A51909C" w:rsidR="001342CF" w:rsidRPr="002B1252" w:rsidRDefault="001342CF" w:rsidP="002B1252">
    <w:pPr>
      <w:pStyle w:val="BodyText"/>
      <w:spacing w:before="74"/>
      <w:ind w:left="0" w:firstLine="0"/>
      <w:rPr>
        <w:color w:val="002060"/>
        <w:sz w:val="24"/>
        <w:szCs w:val="24"/>
      </w:rPr>
    </w:pPr>
    <w:r w:rsidRPr="002B1252">
      <w:rPr>
        <w:color w:val="002060"/>
        <w:sz w:val="24"/>
        <w:szCs w:val="24"/>
      </w:rPr>
      <w:t>Statewide Medical and Health Exercise</w:t>
    </w:r>
    <w:r w:rsidRPr="002B1252">
      <w:rPr>
        <w:color w:val="002060"/>
        <w:spacing w:val="-12"/>
        <w:sz w:val="24"/>
        <w:szCs w:val="24"/>
      </w:rPr>
      <w:t xml:space="preserve"> </w:t>
    </w:r>
  </w:p>
  <w:p w14:paraId="229786C2" w14:textId="77777777" w:rsidR="001342CF" w:rsidRPr="007D72DB" w:rsidRDefault="001342CF" w:rsidP="002B1252">
    <w:pPr>
      <w:pStyle w:val="Header"/>
      <w:rPr>
        <w:color w:val="002060"/>
        <w:sz w:val="24"/>
        <w:szCs w:val="28"/>
      </w:rPr>
    </w:pPr>
    <w:r w:rsidRPr="002B1252">
      <w:rPr>
        <w:color w:val="002060"/>
        <w:sz w:val="24"/>
        <w:szCs w:val="28"/>
      </w:rPr>
      <w:t xml:space="preserve">Multi-Year Integrated Preparedness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FB6ADB"/>
    <w:multiLevelType w:val="hybridMultilevel"/>
    <w:tmpl w:val="B88F03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C3979"/>
    <w:multiLevelType w:val="hybridMultilevel"/>
    <w:tmpl w:val="460CB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03C4"/>
    <w:multiLevelType w:val="hybridMultilevel"/>
    <w:tmpl w:val="6E46ED70"/>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9873A5"/>
    <w:multiLevelType w:val="hybridMultilevel"/>
    <w:tmpl w:val="41EC7800"/>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B10FAF"/>
    <w:multiLevelType w:val="hybridMultilevel"/>
    <w:tmpl w:val="B0B6D75C"/>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470327"/>
    <w:multiLevelType w:val="hybridMultilevel"/>
    <w:tmpl w:val="22AA4D0E"/>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B286B"/>
    <w:multiLevelType w:val="hybridMultilevel"/>
    <w:tmpl w:val="14FC60E8"/>
    <w:lvl w:ilvl="0" w:tplc="28C20E8E">
      <w:start w:val="1"/>
      <w:numFmt w:val="bullet"/>
      <w:pStyle w:val="ListParagraph"/>
      <w:lvlText w:val=""/>
      <w:lvlJc w:val="left"/>
      <w:pPr>
        <w:ind w:left="720" w:hanging="360"/>
      </w:pPr>
      <w:rPr>
        <w:rFonts w:ascii="Symbol" w:hAnsi="Symbol"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7526F"/>
    <w:multiLevelType w:val="hybridMultilevel"/>
    <w:tmpl w:val="6D06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B525C"/>
    <w:multiLevelType w:val="hybridMultilevel"/>
    <w:tmpl w:val="D8EC720C"/>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495C76"/>
    <w:multiLevelType w:val="hybridMultilevel"/>
    <w:tmpl w:val="AF8E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01054"/>
    <w:multiLevelType w:val="hybridMultilevel"/>
    <w:tmpl w:val="4420E2E2"/>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4B36CB"/>
    <w:multiLevelType w:val="hybridMultilevel"/>
    <w:tmpl w:val="A04E5D98"/>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E45066"/>
    <w:multiLevelType w:val="multilevel"/>
    <w:tmpl w:val="4EAE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05EB6"/>
    <w:multiLevelType w:val="hybridMultilevel"/>
    <w:tmpl w:val="6828441E"/>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1631C9"/>
    <w:multiLevelType w:val="hybridMultilevel"/>
    <w:tmpl w:val="74BA763C"/>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AD1058"/>
    <w:multiLevelType w:val="hybridMultilevel"/>
    <w:tmpl w:val="40D8FB6A"/>
    <w:lvl w:ilvl="0" w:tplc="DBB8CB2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F4E5F"/>
    <w:multiLevelType w:val="hybridMultilevel"/>
    <w:tmpl w:val="CF4E7410"/>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4A23BF"/>
    <w:multiLevelType w:val="hybridMultilevel"/>
    <w:tmpl w:val="FF587360"/>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210E87"/>
    <w:multiLevelType w:val="hybridMultilevel"/>
    <w:tmpl w:val="EECE0E8C"/>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CD517F"/>
    <w:multiLevelType w:val="hybridMultilevel"/>
    <w:tmpl w:val="5ED20466"/>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6333DA8"/>
    <w:multiLevelType w:val="hybridMultilevel"/>
    <w:tmpl w:val="47AE2F52"/>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503F26"/>
    <w:multiLevelType w:val="hybridMultilevel"/>
    <w:tmpl w:val="996425D8"/>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061B4E"/>
    <w:multiLevelType w:val="hybridMultilevel"/>
    <w:tmpl w:val="68AE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17861"/>
    <w:multiLevelType w:val="hybridMultilevel"/>
    <w:tmpl w:val="D1FC3648"/>
    <w:lvl w:ilvl="0" w:tplc="DBB8CB24">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04C15F3"/>
    <w:multiLevelType w:val="hybridMultilevel"/>
    <w:tmpl w:val="E4BA7984"/>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66342C"/>
    <w:multiLevelType w:val="hybridMultilevel"/>
    <w:tmpl w:val="6D04B118"/>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E23380"/>
    <w:multiLevelType w:val="hybridMultilevel"/>
    <w:tmpl w:val="C6486F76"/>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C60AFE"/>
    <w:multiLevelType w:val="hybridMultilevel"/>
    <w:tmpl w:val="5A0603CC"/>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B22A1F"/>
    <w:multiLevelType w:val="hybridMultilevel"/>
    <w:tmpl w:val="4530B326"/>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B22D54"/>
    <w:multiLevelType w:val="hybridMultilevel"/>
    <w:tmpl w:val="5A862E98"/>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DC6027"/>
    <w:multiLevelType w:val="hybridMultilevel"/>
    <w:tmpl w:val="A2FACCDC"/>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8F0DF2"/>
    <w:multiLevelType w:val="hybridMultilevel"/>
    <w:tmpl w:val="5F3A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9300E"/>
    <w:multiLevelType w:val="hybridMultilevel"/>
    <w:tmpl w:val="685282B8"/>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C06339B"/>
    <w:multiLevelType w:val="hybridMultilevel"/>
    <w:tmpl w:val="00B68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42379C"/>
    <w:multiLevelType w:val="hybridMultilevel"/>
    <w:tmpl w:val="199CBBFE"/>
    <w:lvl w:ilvl="0" w:tplc="DBB8CB2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AB12C0"/>
    <w:multiLevelType w:val="hybridMultilevel"/>
    <w:tmpl w:val="0C7C38EA"/>
    <w:lvl w:ilvl="0" w:tplc="DBB8CB2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7"/>
  </w:num>
  <w:num w:numId="4">
    <w:abstractNumId w:val="22"/>
  </w:num>
  <w:num w:numId="5">
    <w:abstractNumId w:val="34"/>
  </w:num>
  <w:num w:numId="6">
    <w:abstractNumId w:val="9"/>
  </w:num>
  <w:num w:numId="7">
    <w:abstractNumId w:val="23"/>
  </w:num>
  <w:num w:numId="8">
    <w:abstractNumId w:val="20"/>
  </w:num>
  <w:num w:numId="9">
    <w:abstractNumId w:val="10"/>
  </w:num>
  <w:num w:numId="10">
    <w:abstractNumId w:val="32"/>
  </w:num>
  <w:num w:numId="11">
    <w:abstractNumId w:val="2"/>
  </w:num>
  <w:num w:numId="12">
    <w:abstractNumId w:val="19"/>
  </w:num>
  <w:num w:numId="13">
    <w:abstractNumId w:val="18"/>
  </w:num>
  <w:num w:numId="14">
    <w:abstractNumId w:val="25"/>
  </w:num>
  <w:num w:numId="15">
    <w:abstractNumId w:val="3"/>
  </w:num>
  <w:num w:numId="16">
    <w:abstractNumId w:val="8"/>
  </w:num>
  <w:num w:numId="17">
    <w:abstractNumId w:val="28"/>
  </w:num>
  <w:num w:numId="18">
    <w:abstractNumId w:val="30"/>
  </w:num>
  <w:num w:numId="19">
    <w:abstractNumId w:val="5"/>
  </w:num>
  <w:num w:numId="20">
    <w:abstractNumId w:val="21"/>
  </w:num>
  <w:num w:numId="21">
    <w:abstractNumId w:val="16"/>
  </w:num>
  <w:num w:numId="22">
    <w:abstractNumId w:val="11"/>
  </w:num>
  <w:num w:numId="23">
    <w:abstractNumId w:val="29"/>
  </w:num>
  <w:num w:numId="24">
    <w:abstractNumId w:val="17"/>
  </w:num>
  <w:num w:numId="25">
    <w:abstractNumId w:val="31"/>
  </w:num>
  <w:num w:numId="26">
    <w:abstractNumId w:val="0"/>
  </w:num>
  <w:num w:numId="27">
    <w:abstractNumId w:val="26"/>
  </w:num>
  <w:num w:numId="28">
    <w:abstractNumId w:val="14"/>
  </w:num>
  <w:num w:numId="29">
    <w:abstractNumId w:val="13"/>
  </w:num>
  <w:num w:numId="30">
    <w:abstractNumId w:val="15"/>
  </w:num>
  <w:num w:numId="31">
    <w:abstractNumId w:val="27"/>
  </w:num>
  <w:num w:numId="32">
    <w:abstractNumId w:val="4"/>
  </w:num>
  <w:num w:numId="33">
    <w:abstractNumId w:val="35"/>
  </w:num>
  <w:num w:numId="34">
    <w:abstractNumId w:val="1"/>
  </w:num>
  <w:num w:numId="35">
    <w:abstractNumId w:val="33"/>
  </w:num>
  <w:num w:numId="3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434"/>
    <w:rsid w:val="000005BB"/>
    <w:rsid w:val="00013929"/>
    <w:rsid w:val="00020D29"/>
    <w:rsid w:val="00030BE8"/>
    <w:rsid w:val="00032FF6"/>
    <w:rsid w:val="00042130"/>
    <w:rsid w:val="00042C6D"/>
    <w:rsid w:val="000752D7"/>
    <w:rsid w:val="00084B52"/>
    <w:rsid w:val="0009612C"/>
    <w:rsid w:val="000C56E7"/>
    <w:rsid w:val="000E30B2"/>
    <w:rsid w:val="000E33A9"/>
    <w:rsid w:val="001153D7"/>
    <w:rsid w:val="001342CF"/>
    <w:rsid w:val="00163C34"/>
    <w:rsid w:val="00163CF8"/>
    <w:rsid w:val="00196657"/>
    <w:rsid w:val="001A3685"/>
    <w:rsid w:val="001B430C"/>
    <w:rsid w:val="001C1DFD"/>
    <w:rsid w:val="001C5D6A"/>
    <w:rsid w:val="001C727E"/>
    <w:rsid w:val="00213A37"/>
    <w:rsid w:val="002232B2"/>
    <w:rsid w:val="002276B0"/>
    <w:rsid w:val="00247CAE"/>
    <w:rsid w:val="002659B1"/>
    <w:rsid w:val="002814B2"/>
    <w:rsid w:val="002911E5"/>
    <w:rsid w:val="002A32ED"/>
    <w:rsid w:val="002B1252"/>
    <w:rsid w:val="002E7663"/>
    <w:rsid w:val="002F3783"/>
    <w:rsid w:val="00305456"/>
    <w:rsid w:val="00320EAA"/>
    <w:rsid w:val="00341876"/>
    <w:rsid w:val="0034326F"/>
    <w:rsid w:val="00367E51"/>
    <w:rsid w:val="00397E3D"/>
    <w:rsid w:val="003B3019"/>
    <w:rsid w:val="004050C4"/>
    <w:rsid w:val="00463975"/>
    <w:rsid w:val="004744E2"/>
    <w:rsid w:val="00475B3F"/>
    <w:rsid w:val="00492B6E"/>
    <w:rsid w:val="004B5622"/>
    <w:rsid w:val="00516116"/>
    <w:rsid w:val="00535ECC"/>
    <w:rsid w:val="0054193E"/>
    <w:rsid w:val="00544A50"/>
    <w:rsid w:val="00544DFB"/>
    <w:rsid w:val="005564E2"/>
    <w:rsid w:val="00561390"/>
    <w:rsid w:val="00561D25"/>
    <w:rsid w:val="0056248B"/>
    <w:rsid w:val="00587981"/>
    <w:rsid w:val="00593AF3"/>
    <w:rsid w:val="005A042B"/>
    <w:rsid w:val="005A2A5C"/>
    <w:rsid w:val="005F085A"/>
    <w:rsid w:val="005F2B32"/>
    <w:rsid w:val="005F3454"/>
    <w:rsid w:val="00616460"/>
    <w:rsid w:val="006331A6"/>
    <w:rsid w:val="00663576"/>
    <w:rsid w:val="00667BEA"/>
    <w:rsid w:val="006E5D1E"/>
    <w:rsid w:val="006F32ED"/>
    <w:rsid w:val="00705CF4"/>
    <w:rsid w:val="00722DBE"/>
    <w:rsid w:val="007238FC"/>
    <w:rsid w:val="0073554E"/>
    <w:rsid w:val="007407E8"/>
    <w:rsid w:val="00753C39"/>
    <w:rsid w:val="00792D4C"/>
    <w:rsid w:val="007D170F"/>
    <w:rsid w:val="007D4175"/>
    <w:rsid w:val="007D68CB"/>
    <w:rsid w:val="007D72DB"/>
    <w:rsid w:val="007E0F2F"/>
    <w:rsid w:val="0080072F"/>
    <w:rsid w:val="00852E4D"/>
    <w:rsid w:val="00862E44"/>
    <w:rsid w:val="008D1EC0"/>
    <w:rsid w:val="008D367A"/>
    <w:rsid w:val="008D4678"/>
    <w:rsid w:val="008F5F44"/>
    <w:rsid w:val="00960764"/>
    <w:rsid w:val="009625B0"/>
    <w:rsid w:val="009731BF"/>
    <w:rsid w:val="00975139"/>
    <w:rsid w:val="00975D01"/>
    <w:rsid w:val="00980AD8"/>
    <w:rsid w:val="0098781E"/>
    <w:rsid w:val="009B0B79"/>
    <w:rsid w:val="009B3F13"/>
    <w:rsid w:val="009C58D9"/>
    <w:rsid w:val="009C67E3"/>
    <w:rsid w:val="009C71F8"/>
    <w:rsid w:val="00A23649"/>
    <w:rsid w:val="00A560ED"/>
    <w:rsid w:val="00A97932"/>
    <w:rsid w:val="00AB3BD2"/>
    <w:rsid w:val="00AC4D0C"/>
    <w:rsid w:val="00AD0EEE"/>
    <w:rsid w:val="00AD73DA"/>
    <w:rsid w:val="00B02A90"/>
    <w:rsid w:val="00B054DD"/>
    <w:rsid w:val="00B17C12"/>
    <w:rsid w:val="00B310F6"/>
    <w:rsid w:val="00B57634"/>
    <w:rsid w:val="00B648E9"/>
    <w:rsid w:val="00B709B2"/>
    <w:rsid w:val="00B7643C"/>
    <w:rsid w:val="00BB03C3"/>
    <w:rsid w:val="00BD6193"/>
    <w:rsid w:val="00C146AF"/>
    <w:rsid w:val="00C20EBD"/>
    <w:rsid w:val="00C35344"/>
    <w:rsid w:val="00C46885"/>
    <w:rsid w:val="00C475F2"/>
    <w:rsid w:val="00C52B10"/>
    <w:rsid w:val="00C80D11"/>
    <w:rsid w:val="00C91FF7"/>
    <w:rsid w:val="00CB08AA"/>
    <w:rsid w:val="00CF7440"/>
    <w:rsid w:val="00D329FB"/>
    <w:rsid w:val="00D34434"/>
    <w:rsid w:val="00D453CC"/>
    <w:rsid w:val="00D611EC"/>
    <w:rsid w:val="00D705A9"/>
    <w:rsid w:val="00D927CB"/>
    <w:rsid w:val="00DA51C3"/>
    <w:rsid w:val="00DB3632"/>
    <w:rsid w:val="00DD20E1"/>
    <w:rsid w:val="00DD6B35"/>
    <w:rsid w:val="00DF164E"/>
    <w:rsid w:val="00E10A25"/>
    <w:rsid w:val="00E11277"/>
    <w:rsid w:val="00E11A42"/>
    <w:rsid w:val="00E33DF8"/>
    <w:rsid w:val="00E7495A"/>
    <w:rsid w:val="00E82F2F"/>
    <w:rsid w:val="00EC146F"/>
    <w:rsid w:val="00ED7A03"/>
    <w:rsid w:val="00F4154C"/>
    <w:rsid w:val="00F44C4F"/>
    <w:rsid w:val="00F609DC"/>
    <w:rsid w:val="00F61C55"/>
    <w:rsid w:val="00F80FA5"/>
    <w:rsid w:val="00F91DB7"/>
    <w:rsid w:val="00F97A4D"/>
    <w:rsid w:val="00FA06A9"/>
    <w:rsid w:val="00FA291D"/>
    <w:rsid w:val="00FB1A74"/>
    <w:rsid w:val="00FE3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26027"/>
  <w14:defaultImageDpi w14:val="330"/>
  <w15:docId w15:val="{B115B24D-5B21-47E0-8DE9-7E3DE462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685"/>
    <w:pPr>
      <w:spacing w:line="276" w:lineRule="auto"/>
      <w:jc w:val="both"/>
    </w:pPr>
    <w:rPr>
      <w:rFonts w:ascii="Arial" w:eastAsia="Calibri" w:hAnsi="Arial" w:cs="Times New Roman"/>
      <w:sz w:val="20"/>
      <w:szCs w:val="22"/>
    </w:rPr>
  </w:style>
  <w:style w:type="paragraph" w:styleId="Heading1">
    <w:name w:val="heading 1"/>
    <w:basedOn w:val="Normal"/>
    <w:next w:val="Normal"/>
    <w:link w:val="Heading1Char"/>
    <w:uiPriority w:val="9"/>
    <w:qFormat/>
    <w:rsid w:val="00C80D11"/>
    <w:pPr>
      <w:spacing w:after="160"/>
      <w:jc w:val="left"/>
      <w:outlineLvl w:val="0"/>
    </w:pPr>
    <w:rPr>
      <w:rFonts w:eastAsia="Times New Roman"/>
      <w:color w:val="002060"/>
      <w:sz w:val="44"/>
      <w:szCs w:val="36"/>
    </w:rPr>
  </w:style>
  <w:style w:type="paragraph" w:styleId="Heading2">
    <w:name w:val="heading 2"/>
    <w:basedOn w:val="Normal"/>
    <w:next w:val="Normal"/>
    <w:link w:val="Heading2Char"/>
    <w:uiPriority w:val="9"/>
    <w:unhideWhenUsed/>
    <w:qFormat/>
    <w:rsid w:val="000E30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BodyText"/>
    <w:next w:val="Normal"/>
    <w:link w:val="Heading3Char"/>
    <w:uiPriority w:val="9"/>
    <w:unhideWhenUsed/>
    <w:qFormat/>
    <w:rsid w:val="00C80D11"/>
    <w:pPr>
      <w:spacing w:line="276" w:lineRule="auto"/>
      <w:ind w:left="0" w:firstLine="0"/>
      <w:contextualSpacing/>
      <w:jc w:val="left"/>
      <w:outlineLvl w:val="2"/>
    </w:pPr>
    <w:rPr>
      <w:b/>
      <w:sz w:val="24"/>
      <w:szCs w:val="24"/>
    </w:rPr>
  </w:style>
  <w:style w:type="paragraph" w:styleId="Heading4">
    <w:name w:val="heading 4"/>
    <w:basedOn w:val="Normal"/>
    <w:next w:val="Normal"/>
    <w:link w:val="Heading4Char"/>
    <w:uiPriority w:val="9"/>
    <w:semiHidden/>
    <w:unhideWhenUsed/>
    <w:qFormat/>
    <w:rsid w:val="00D34434"/>
    <w:pPr>
      <w:keepNext/>
      <w:keepLines/>
      <w:widowControl w:val="0"/>
      <w:spacing w:before="200" w:line="240" w:lineRule="auto"/>
      <w:outlineLvl w:val="3"/>
    </w:pPr>
    <w:rPr>
      <w:rFonts w:ascii="Cambria" w:eastAsia="MS Gothic"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D11"/>
    <w:rPr>
      <w:rFonts w:ascii="Arial" w:eastAsia="Times New Roman" w:hAnsi="Arial" w:cs="Times New Roman"/>
      <w:color w:val="002060"/>
      <w:sz w:val="44"/>
      <w:szCs w:val="36"/>
    </w:rPr>
  </w:style>
  <w:style w:type="character" w:customStyle="1" w:styleId="Heading4Char">
    <w:name w:val="Heading 4 Char"/>
    <w:basedOn w:val="DefaultParagraphFont"/>
    <w:link w:val="Heading4"/>
    <w:uiPriority w:val="9"/>
    <w:semiHidden/>
    <w:rsid w:val="00D34434"/>
    <w:rPr>
      <w:rFonts w:ascii="Cambria" w:eastAsia="MS Gothic" w:hAnsi="Cambria" w:cs="Times New Roman"/>
      <w:b/>
      <w:bCs/>
      <w:i/>
      <w:iCs/>
      <w:color w:val="4F81BD"/>
      <w:sz w:val="20"/>
      <w:szCs w:val="22"/>
    </w:rPr>
  </w:style>
  <w:style w:type="table" w:styleId="TableGrid">
    <w:name w:val="Table Grid"/>
    <w:basedOn w:val="TableNormal"/>
    <w:uiPriority w:val="59"/>
    <w:rsid w:val="00D3443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44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434"/>
    <w:rPr>
      <w:rFonts w:ascii="Tahoma" w:eastAsia="Calibri" w:hAnsi="Tahoma" w:cs="Tahoma"/>
      <w:sz w:val="16"/>
      <w:szCs w:val="16"/>
    </w:rPr>
  </w:style>
  <w:style w:type="paragraph" w:styleId="ListParagraph">
    <w:name w:val="List Paragraph"/>
    <w:basedOn w:val="Normal"/>
    <w:uiPriority w:val="34"/>
    <w:qFormat/>
    <w:rsid w:val="00F609DC"/>
    <w:pPr>
      <w:numPr>
        <w:numId w:val="1"/>
      </w:numPr>
      <w:spacing w:before="80"/>
    </w:pPr>
    <w:rPr>
      <w:rFonts w:cs="Arial"/>
      <w:szCs w:val="20"/>
    </w:rPr>
  </w:style>
  <w:style w:type="paragraph" w:styleId="Header">
    <w:name w:val="header"/>
    <w:basedOn w:val="Normal"/>
    <w:link w:val="HeaderChar"/>
    <w:uiPriority w:val="99"/>
    <w:unhideWhenUsed/>
    <w:rsid w:val="00D34434"/>
    <w:pPr>
      <w:tabs>
        <w:tab w:val="center" w:pos="4680"/>
        <w:tab w:val="right" w:pos="9360"/>
      </w:tabs>
      <w:spacing w:line="240" w:lineRule="auto"/>
    </w:pPr>
  </w:style>
  <w:style w:type="character" w:customStyle="1" w:styleId="HeaderChar">
    <w:name w:val="Header Char"/>
    <w:basedOn w:val="DefaultParagraphFont"/>
    <w:link w:val="Header"/>
    <w:uiPriority w:val="99"/>
    <w:rsid w:val="00D34434"/>
    <w:rPr>
      <w:rFonts w:ascii="Arial" w:eastAsia="Calibri" w:hAnsi="Arial" w:cs="Times New Roman"/>
      <w:sz w:val="20"/>
      <w:szCs w:val="22"/>
    </w:rPr>
  </w:style>
  <w:style w:type="paragraph" w:styleId="Footer">
    <w:name w:val="footer"/>
    <w:basedOn w:val="Normal"/>
    <w:link w:val="FooterChar"/>
    <w:uiPriority w:val="99"/>
    <w:unhideWhenUsed/>
    <w:rsid w:val="00D34434"/>
    <w:pPr>
      <w:tabs>
        <w:tab w:val="center" w:pos="4680"/>
        <w:tab w:val="right" w:pos="9360"/>
      </w:tabs>
      <w:spacing w:line="240" w:lineRule="auto"/>
    </w:pPr>
  </w:style>
  <w:style w:type="character" w:customStyle="1" w:styleId="FooterChar">
    <w:name w:val="Footer Char"/>
    <w:basedOn w:val="DefaultParagraphFont"/>
    <w:link w:val="Footer"/>
    <w:uiPriority w:val="99"/>
    <w:rsid w:val="00D34434"/>
    <w:rPr>
      <w:rFonts w:ascii="Arial" w:eastAsia="Calibri" w:hAnsi="Arial" w:cs="Times New Roman"/>
      <w:sz w:val="20"/>
      <w:szCs w:val="22"/>
    </w:rPr>
  </w:style>
  <w:style w:type="table" w:customStyle="1" w:styleId="TableGrid1">
    <w:name w:val="Table Grid1"/>
    <w:basedOn w:val="TableNormal"/>
    <w:next w:val="TableGrid"/>
    <w:uiPriority w:val="59"/>
    <w:rsid w:val="00D3443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443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3443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34434"/>
    <w:pPr>
      <w:widowControl w:val="0"/>
      <w:spacing w:line="240" w:lineRule="auto"/>
      <w:ind w:left="840" w:hanging="360"/>
    </w:pPr>
    <w:rPr>
      <w:rFonts w:eastAsia="Arial"/>
      <w:szCs w:val="20"/>
    </w:rPr>
  </w:style>
  <w:style w:type="character" w:customStyle="1" w:styleId="BodyTextChar">
    <w:name w:val="Body Text Char"/>
    <w:basedOn w:val="DefaultParagraphFont"/>
    <w:link w:val="BodyText"/>
    <w:uiPriority w:val="1"/>
    <w:rsid w:val="00D34434"/>
    <w:rPr>
      <w:rFonts w:ascii="Arial" w:eastAsia="Arial" w:hAnsi="Arial" w:cs="Times New Roman"/>
      <w:sz w:val="20"/>
      <w:szCs w:val="20"/>
    </w:rPr>
  </w:style>
  <w:style w:type="character" w:styleId="PageNumber">
    <w:name w:val="page number"/>
    <w:uiPriority w:val="99"/>
    <w:semiHidden/>
    <w:unhideWhenUsed/>
    <w:rsid w:val="00D34434"/>
  </w:style>
  <w:style w:type="paragraph" w:styleId="TOCHeading">
    <w:name w:val="TOC Heading"/>
    <w:basedOn w:val="Heading1"/>
    <w:next w:val="Normal"/>
    <w:uiPriority w:val="39"/>
    <w:unhideWhenUsed/>
    <w:qFormat/>
    <w:rsid w:val="00D34434"/>
    <w:pPr>
      <w:keepLines/>
      <w:spacing w:before="480" w:after="0"/>
      <w:outlineLvl w:val="9"/>
    </w:pPr>
    <w:rPr>
      <w:color w:val="365F91"/>
      <w:sz w:val="28"/>
      <w:szCs w:val="28"/>
    </w:rPr>
  </w:style>
  <w:style w:type="paragraph" w:styleId="TOC1">
    <w:name w:val="toc 1"/>
    <w:basedOn w:val="Normal"/>
    <w:next w:val="Normal"/>
    <w:autoRedefine/>
    <w:uiPriority w:val="39"/>
    <w:unhideWhenUsed/>
    <w:qFormat/>
    <w:rsid w:val="007D72DB"/>
    <w:pPr>
      <w:tabs>
        <w:tab w:val="right" w:leader="dot" w:pos="9350"/>
      </w:tabs>
      <w:spacing w:before="120"/>
    </w:pPr>
    <w:rPr>
      <w:b/>
      <w:sz w:val="28"/>
      <w:szCs w:val="24"/>
    </w:rPr>
  </w:style>
  <w:style w:type="paragraph" w:styleId="TOC2">
    <w:name w:val="toc 2"/>
    <w:basedOn w:val="Normal"/>
    <w:next w:val="Normal"/>
    <w:autoRedefine/>
    <w:uiPriority w:val="39"/>
    <w:semiHidden/>
    <w:unhideWhenUsed/>
    <w:rsid w:val="007D72DB"/>
    <w:pPr>
      <w:ind w:left="220"/>
    </w:pPr>
    <w:rPr>
      <w:sz w:val="24"/>
    </w:rPr>
  </w:style>
  <w:style w:type="paragraph" w:styleId="TOC3">
    <w:name w:val="toc 3"/>
    <w:basedOn w:val="Normal"/>
    <w:next w:val="Normal"/>
    <w:autoRedefine/>
    <w:uiPriority w:val="39"/>
    <w:unhideWhenUsed/>
    <w:qFormat/>
    <w:rsid w:val="007D72DB"/>
    <w:pPr>
      <w:ind w:left="440"/>
    </w:pPr>
    <w:rPr>
      <w:sz w:val="24"/>
    </w:rPr>
  </w:style>
  <w:style w:type="paragraph" w:styleId="TOC4">
    <w:name w:val="toc 4"/>
    <w:basedOn w:val="Normal"/>
    <w:next w:val="Normal"/>
    <w:autoRedefine/>
    <w:uiPriority w:val="39"/>
    <w:semiHidden/>
    <w:unhideWhenUsed/>
    <w:rsid w:val="00D34434"/>
    <w:pPr>
      <w:ind w:left="660"/>
    </w:pPr>
    <w:rPr>
      <w:rFonts w:ascii="Cambria" w:hAnsi="Cambria"/>
      <w:szCs w:val="20"/>
    </w:rPr>
  </w:style>
  <w:style w:type="paragraph" w:styleId="TOC5">
    <w:name w:val="toc 5"/>
    <w:basedOn w:val="Normal"/>
    <w:next w:val="Normal"/>
    <w:autoRedefine/>
    <w:uiPriority w:val="39"/>
    <w:semiHidden/>
    <w:unhideWhenUsed/>
    <w:rsid w:val="00D34434"/>
    <w:pPr>
      <w:ind w:left="880"/>
    </w:pPr>
    <w:rPr>
      <w:rFonts w:ascii="Cambria" w:hAnsi="Cambria"/>
      <w:szCs w:val="20"/>
    </w:rPr>
  </w:style>
  <w:style w:type="paragraph" w:styleId="TOC6">
    <w:name w:val="toc 6"/>
    <w:basedOn w:val="Normal"/>
    <w:next w:val="Normal"/>
    <w:autoRedefine/>
    <w:uiPriority w:val="39"/>
    <w:semiHidden/>
    <w:unhideWhenUsed/>
    <w:rsid w:val="00D34434"/>
    <w:pPr>
      <w:ind w:left="1100"/>
    </w:pPr>
    <w:rPr>
      <w:rFonts w:ascii="Cambria" w:hAnsi="Cambria"/>
      <w:szCs w:val="20"/>
    </w:rPr>
  </w:style>
  <w:style w:type="paragraph" w:styleId="TOC7">
    <w:name w:val="toc 7"/>
    <w:basedOn w:val="Normal"/>
    <w:next w:val="Normal"/>
    <w:autoRedefine/>
    <w:uiPriority w:val="39"/>
    <w:semiHidden/>
    <w:unhideWhenUsed/>
    <w:rsid w:val="00D34434"/>
    <w:pPr>
      <w:ind w:left="1320"/>
    </w:pPr>
    <w:rPr>
      <w:rFonts w:ascii="Cambria" w:hAnsi="Cambria"/>
      <w:szCs w:val="20"/>
    </w:rPr>
  </w:style>
  <w:style w:type="paragraph" w:styleId="TOC8">
    <w:name w:val="toc 8"/>
    <w:basedOn w:val="Normal"/>
    <w:next w:val="Normal"/>
    <w:autoRedefine/>
    <w:uiPriority w:val="39"/>
    <w:semiHidden/>
    <w:unhideWhenUsed/>
    <w:rsid w:val="00D34434"/>
    <w:pPr>
      <w:ind w:left="1540"/>
    </w:pPr>
    <w:rPr>
      <w:rFonts w:ascii="Cambria" w:hAnsi="Cambria"/>
      <w:szCs w:val="20"/>
    </w:rPr>
  </w:style>
  <w:style w:type="paragraph" w:styleId="TOC9">
    <w:name w:val="toc 9"/>
    <w:basedOn w:val="Normal"/>
    <w:next w:val="Normal"/>
    <w:autoRedefine/>
    <w:uiPriority w:val="39"/>
    <w:semiHidden/>
    <w:unhideWhenUsed/>
    <w:rsid w:val="00D34434"/>
    <w:pPr>
      <w:ind w:left="1760"/>
    </w:pPr>
    <w:rPr>
      <w:rFonts w:ascii="Cambria" w:hAnsi="Cambria"/>
      <w:szCs w:val="20"/>
    </w:rPr>
  </w:style>
  <w:style w:type="character" w:customStyle="1" w:styleId="user-generated">
    <w:name w:val="user-generated"/>
    <w:rsid w:val="00D34434"/>
  </w:style>
  <w:style w:type="character" w:styleId="Hyperlink">
    <w:name w:val="Hyperlink"/>
    <w:uiPriority w:val="99"/>
    <w:unhideWhenUsed/>
    <w:rsid w:val="00D34434"/>
    <w:rPr>
      <w:color w:val="0000FF"/>
      <w:u w:val="single"/>
    </w:rPr>
  </w:style>
  <w:style w:type="character" w:customStyle="1" w:styleId="checkbox-button-label-text1">
    <w:name w:val="checkbox-button-label-text1"/>
    <w:rsid w:val="00D34434"/>
    <w:rPr>
      <w:vanish w:val="0"/>
      <w:webHidden w:val="0"/>
      <w:specVanish w:val="0"/>
    </w:rPr>
  </w:style>
  <w:style w:type="character" w:styleId="CommentReference">
    <w:name w:val="annotation reference"/>
    <w:uiPriority w:val="99"/>
    <w:semiHidden/>
    <w:unhideWhenUsed/>
    <w:rsid w:val="00D34434"/>
    <w:rPr>
      <w:sz w:val="18"/>
      <w:szCs w:val="18"/>
    </w:rPr>
  </w:style>
  <w:style w:type="paragraph" w:styleId="CommentText">
    <w:name w:val="annotation text"/>
    <w:basedOn w:val="Normal"/>
    <w:link w:val="CommentTextChar"/>
    <w:uiPriority w:val="99"/>
    <w:unhideWhenUsed/>
    <w:rsid w:val="00D34434"/>
    <w:rPr>
      <w:sz w:val="24"/>
      <w:szCs w:val="24"/>
    </w:rPr>
  </w:style>
  <w:style w:type="character" w:customStyle="1" w:styleId="CommentTextChar">
    <w:name w:val="Comment Text Char"/>
    <w:basedOn w:val="DefaultParagraphFont"/>
    <w:link w:val="CommentText"/>
    <w:uiPriority w:val="99"/>
    <w:rsid w:val="00D34434"/>
    <w:rPr>
      <w:rFonts w:ascii="Arial" w:eastAsia="Calibri" w:hAnsi="Arial" w:cs="Times New Roman"/>
    </w:rPr>
  </w:style>
  <w:style w:type="paragraph" w:styleId="CommentSubject">
    <w:name w:val="annotation subject"/>
    <w:basedOn w:val="CommentText"/>
    <w:next w:val="CommentText"/>
    <w:link w:val="CommentSubjectChar"/>
    <w:uiPriority w:val="99"/>
    <w:semiHidden/>
    <w:unhideWhenUsed/>
    <w:rsid w:val="00D34434"/>
    <w:rPr>
      <w:b/>
      <w:bCs/>
      <w:sz w:val="20"/>
      <w:szCs w:val="20"/>
    </w:rPr>
  </w:style>
  <w:style w:type="character" w:customStyle="1" w:styleId="CommentSubjectChar">
    <w:name w:val="Comment Subject Char"/>
    <w:basedOn w:val="CommentTextChar"/>
    <w:link w:val="CommentSubject"/>
    <w:uiPriority w:val="99"/>
    <w:semiHidden/>
    <w:rsid w:val="00D34434"/>
    <w:rPr>
      <w:rFonts w:ascii="Arial" w:eastAsia="Calibri" w:hAnsi="Arial" w:cs="Times New Roman"/>
      <w:b/>
      <w:bCs/>
      <w:sz w:val="20"/>
      <w:szCs w:val="20"/>
    </w:rPr>
  </w:style>
  <w:style w:type="paragraph" w:styleId="NormalWeb">
    <w:name w:val="Normal (Web)"/>
    <w:basedOn w:val="Normal"/>
    <w:uiPriority w:val="99"/>
    <w:semiHidden/>
    <w:unhideWhenUsed/>
    <w:rsid w:val="00D34434"/>
    <w:pPr>
      <w:spacing w:before="100" w:beforeAutospacing="1" w:after="100" w:afterAutospacing="1" w:line="240" w:lineRule="auto"/>
    </w:pPr>
    <w:rPr>
      <w:rFonts w:ascii="Times" w:eastAsia="MS Mincho" w:hAnsi="Times"/>
      <w:szCs w:val="20"/>
    </w:rPr>
  </w:style>
  <w:style w:type="character" w:styleId="FollowedHyperlink">
    <w:name w:val="FollowedHyperlink"/>
    <w:uiPriority w:val="99"/>
    <w:semiHidden/>
    <w:unhideWhenUsed/>
    <w:rsid w:val="00D34434"/>
    <w:rPr>
      <w:color w:val="800080"/>
      <w:u w:val="single"/>
    </w:rPr>
  </w:style>
  <w:style w:type="paragraph" w:styleId="FootnoteText">
    <w:name w:val="footnote text"/>
    <w:basedOn w:val="Normal"/>
    <w:link w:val="FootnoteTextChar"/>
    <w:uiPriority w:val="99"/>
    <w:unhideWhenUsed/>
    <w:rsid w:val="00D34434"/>
    <w:pPr>
      <w:spacing w:line="240" w:lineRule="auto"/>
    </w:pPr>
    <w:rPr>
      <w:sz w:val="24"/>
      <w:szCs w:val="24"/>
    </w:rPr>
  </w:style>
  <w:style w:type="character" w:customStyle="1" w:styleId="FootnoteTextChar">
    <w:name w:val="Footnote Text Char"/>
    <w:basedOn w:val="DefaultParagraphFont"/>
    <w:link w:val="FootnoteText"/>
    <w:uiPriority w:val="99"/>
    <w:rsid w:val="00D34434"/>
    <w:rPr>
      <w:rFonts w:ascii="Arial" w:eastAsia="Calibri" w:hAnsi="Arial" w:cs="Times New Roman"/>
    </w:rPr>
  </w:style>
  <w:style w:type="character" w:styleId="FootnoteReference">
    <w:name w:val="footnote reference"/>
    <w:basedOn w:val="DefaultParagraphFont"/>
    <w:uiPriority w:val="99"/>
    <w:unhideWhenUsed/>
    <w:rsid w:val="00D34434"/>
    <w:rPr>
      <w:vertAlign w:val="superscript"/>
    </w:rPr>
  </w:style>
  <w:style w:type="paragraph" w:styleId="Revision">
    <w:name w:val="Revision"/>
    <w:hidden/>
    <w:uiPriority w:val="71"/>
    <w:rsid w:val="00D34434"/>
    <w:rPr>
      <w:rFonts w:ascii="Calibri" w:eastAsia="Calibri" w:hAnsi="Calibri" w:cs="Times New Roman"/>
      <w:sz w:val="22"/>
      <w:szCs w:val="22"/>
    </w:rPr>
  </w:style>
  <w:style w:type="paragraph" w:customStyle="1" w:styleId="TableParagraph">
    <w:name w:val="Table Paragraph"/>
    <w:basedOn w:val="Normal"/>
    <w:uiPriority w:val="1"/>
    <w:qFormat/>
    <w:rsid w:val="00D34434"/>
    <w:pPr>
      <w:widowControl w:val="0"/>
      <w:spacing w:line="240" w:lineRule="auto"/>
    </w:pPr>
    <w:rPr>
      <w:rFonts w:asciiTheme="minorHAnsi" w:eastAsiaTheme="minorHAnsi" w:hAnsiTheme="minorHAnsi" w:cstheme="minorBidi"/>
      <w:sz w:val="22"/>
    </w:rPr>
  </w:style>
  <w:style w:type="character" w:customStyle="1" w:styleId="Heading2Char">
    <w:name w:val="Heading 2 Char"/>
    <w:basedOn w:val="DefaultParagraphFont"/>
    <w:link w:val="Heading2"/>
    <w:uiPriority w:val="9"/>
    <w:rsid w:val="000E30B2"/>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autoRedefine/>
    <w:uiPriority w:val="10"/>
    <w:qFormat/>
    <w:rsid w:val="00C80D11"/>
    <w:pPr>
      <w:spacing w:line="240" w:lineRule="auto"/>
      <w:contextualSpacing/>
    </w:pPr>
    <w:rPr>
      <w:rFonts w:asciiTheme="majorHAnsi" w:eastAsiaTheme="majorEastAsia" w:hAnsiTheme="majorHAnsi" w:cstheme="majorBidi"/>
      <w:color w:val="002060"/>
      <w:spacing w:val="-10"/>
      <w:kern w:val="28"/>
      <w:sz w:val="56"/>
      <w:szCs w:val="56"/>
    </w:rPr>
  </w:style>
  <w:style w:type="character" w:customStyle="1" w:styleId="TitleChar">
    <w:name w:val="Title Char"/>
    <w:basedOn w:val="DefaultParagraphFont"/>
    <w:link w:val="Title"/>
    <w:uiPriority w:val="10"/>
    <w:rsid w:val="00C80D11"/>
    <w:rPr>
      <w:rFonts w:asciiTheme="majorHAnsi" w:eastAsiaTheme="majorEastAsia" w:hAnsiTheme="majorHAnsi" w:cstheme="majorBidi"/>
      <w:color w:val="002060"/>
      <w:spacing w:val="-10"/>
      <w:kern w:val="28"/>
      <w:sz w:val="56"/>
      <w:szCs w:val="56"/>
    </w:rPr>
  </w:style>
  <w:style w:type="paragraph" w:styleId="Subtitle">
    <w:name w:val="Subtitle"/>
    <w:basedOn w:val="Normal"/>
    <w:next w:val="Normal"/>
    <w:link w:val="SubtitleChar"/>
    <w:uiPriority w:val="11"/>
    <w:qFormat/>
    <w:rsid w:val="00C80D11"/>
    <w:pPr>
      <w:numPr>
        <w:ilvl w:val="1"/>
      </w:numPr>
      <w:spacing w:after="160"/>
    </w:pPr>
    <w:rPr>
      <w:rFonts w:eastAsiaTheme="minorEastAsia" w:cstheme="minorBidi"/>
      <w:color w:val="002060"/>
      <w:spacing w:val="15"/>
      <w:sz w:val="32"/>
    </w:rPr>
  </w:style>
  <w:style w:type="character" w:customStyle="1" w:styleId="SubtitleChar">
    <w:name w:val="Subtitle Char"/>
    <w:basedOn w:val="DefaultParagraphFont"/>
    <w:link w:val="Subtitle"/>
    <w:uiPriority w:val="11"/>
    <w:rsid w:val="00C80D11"/>
    <w:rPr>
      <w:rFonts w:ascii="Arial" w:hAnsi="Arial"/>
      <w:color w:val="002060"/>
      <w:spacing w:val="15"/>
      <w:sz w:val="32"/>
      <w:szCs w:val="22"/>
    </w:rPr>
  </w:style>
  <w:style w:type="character" w:customStyle="1" w:styleId="Heading3Char">
    <w:name w:val="Heading 3 Char"/>
    <w:basedOn w:val="DefaultParagraphFont"/>
    <w:link w:val="Heading3"/>
    <w:uiPriority w:val="9"/>
    <w:rsid w:val="00C80D11"/>
    <w:rPr>
      <w:rFonts w:ascii="Arial" w:eastAsia="Arial" w:hAnsi="Arial" w:cs="Times New Roman"/>
      <w:b/>
    </w:rPr>
  </w:style>
  <w:style w:type="character" w:styleId="UnresolvedMention">
    <w:name w:val="Unresolved Mention"/>
    <w:basedOn w:val="DefaultParagraphFont"/>
    <w:uiPriority w:val="99"/>
    <w:semiHidden/>
    <w:unhideWhenUsed/>
    <w:rsid w:val="006331A6"/>
    <w:rPr>
      <w:color w:val="605E5C"/>
      <w:shd w:val="clear" w:color="auto" w:fill="E1DFDD"/>
    </w:rPr>
  </w:style>
  <w:style w:type="paragraph" w:customStyle="1" w:styleId="CM7">
    <w:name w:val="CM7"/>
    <w:basedOn w:val="Normal"/>
    <w:next w:val="Normal"/>
    <w:uiPriority w:val="99"/>
    <w:rsid w:val="00B648E9"/>
    <w:pPr>
      <w:autoSpaceDE w:val="0"/>
      <w:autoSpaceDN w:val="0"/>
      <w:adjustRightInd w:val="0"/>
      <w:spacing w:line="318" w:lineRule="atLeast"/>
      <w:jc w:val="left"/>
    </w:pPr>
    <w:rPr>
      <w:rFonts w:eastAsiaTheme="minorEastAsia" w:cs="Arial"/>
      <w:sz w:val="24"/>
      <w:szCs w:val="24"/>
    </w:rPr>
  </w:style>
  <w:style w:type="paragraph" w:customStyle="1" w:styleId="CM13">
    <w:name w:val="CM13"/>
    <w:basedOn w:val="Normal"/>
    <w:next w:val="Normal"/>
    <w:uiPriority w:val="99"/>
    <w:rsid w:val="00B648E9"/>
    <w:pPr>
      <w:autoSpaceDE w:val="0"/>
      <w:autoSpaceDN w:val="0"/>
      <w:adjustRightInd w:val="0"/>
      <w:spacing w:line="240" w:lineRule="auto"/>
      <w:jc w:val="left"/>
    </w:pPr>
    <w:rPr>
      <w:rFonts w:eastAsiaTheme="minorEastAsia" w:cs="Arial"/>
      <w:sz w:val="24"/>
      <w:szCs w:val="24"/>
    </w:rPr>
  </w:style>
  <w:style w:type="paragraph" w:customStyle="1" w:styleId="Default">
    <w:name w:val="Default"/>
    <w:rsid w:val="00E10A25"/>
    <w:pPr>
      <w:autoSpaceDE w:val="0"/>
      <w:autoSpaceDN w:val="0"/>
      <w:adjustRightInd w:val="0"/>
    </w:pPr>
    <w:rPr>
      <w:rFonts w:ascii="Arial" w:hAnsi="Arial" w:cs="Arial"/>
      <w:color w:val="000000"/>
    </w:rPr>
  </w:style>
  <w:style w:type="paragraph" w:customStyle="1" w:styleId="CM6">
    <w:name w:val="CM6"/>
    <w:basedOn w:val="Default"/>
    <w:next w:val="Default"/>
    <w:uiPriority w:val="99"/>
    <w:rsid w:val="00E10A25"/>
    <w:pPr>
      <w:spacing w:line="318" w:lineRule="atLeast"/>
    </w:pPr>
    <w:rPr>
      <w:color w:val="auto"/>
    </w:rPr>
  </w:style>
  <w:style w:type="paragraph" w:customStyle="1" w:styleId="CM11">
    <w:name w:val="CM11"/>
    <w:basedOn w:val="Default"/>
    <w:next w:val="Default"/>
    <w:uiPriority w:val="99"/>
    <w:rsid w:val="00E10A25"/>
    <w:rPr>
      <w:color w:val="auto"/>
    </w:rPr>
  </w:style>
  <w:style w:type="paragraph" w:customStyle="1" w:styleId="CM12">
    <w:name w:val="CM12"/>
    <w:basedOn w:val="Default"/>
    <w:next w:val="Default"/>
    <w:uiPriority w:val="99"/>
    <w:rsid w:val="00E10A25"/>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7332">
      <w:bodyDiv w:val="1"/>
      <w:marLeft w:val="0"/>
      <w:marRight w:val="0"/>
      <w:marTop w:val="0"/>
      <w:marBottom w:val="0"/>
      <w:divBdr>
        <w:top w:val="none" w:sz="0" w:space="0" w:color="auto"/>
        <w:left w:val="none" w:sz="0" w:space="0" w:color="auto"/>
        <w:bottom w:val="none" w:sz="0" w:space="0" w:color="auto"/>
        <w:right w:val="none" w:sz="0" w:space="0" w:color="auto"/>
      </w:divBdr>
    </w:div>
    <w:div w:id="1913543602">
      <w:bodyDiv w:val="1"/>
      <w:marLeft w:val="0"/>
      <w:marRight w:val="0"/>
      <w:marTop w:val="0"/>
      <w:marBottom w:val="0"/>
      <w:divBdr>
        <w:top w:val="none" w:sz="0" w:space="0" w:color="auto"/>
        <w:left w:val="none" w:sz="0" w:space="0" w:color="auto"/>
        <w:bottom w:val="none" w:sz="0" w:space="0" w:color="auto"/>
        <w:right w:val="none" w:sz="0" w:space="0" w:color="auto"/>
      </w:divBdr>
    </w:div>
    <w:div w:id="19684701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cdph.ca.gov/Programs/EPO/Pages/swmhe_training.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eptoolkit.fema.gov/web/hseep-resources" TargetMode="External"/><Relationship Id="rId14" Type="http://schemas.openxmlformats.org/officeDocument/2006/relationships/header" Target="header3.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PublishingExpirationDate xmlns="http://schemas.microsoft.com/sharepoint/v3" xsi:nil="true"/>
    <TaxCatchAll xmlns="a48324c4-7d20-48d3-8188-32763737222b">
      <Value>97</Value>
    </TaxCatchAll>
    <PublishingStartDate xmlns="http://schemas.microsoft.com/sharepoint/v3" xsi:nil="true"/>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1D034-88FE-4CE5-A4B4-33F6583CE445}"/>
</file>

<file path=customXml/itemProps2.xml><?xml version="1.0" encoding="utf-8"?>
<ds:datastoreItem xmlns:ds="http://schemas.openxmlformats.org/officeDocument/2006/customXml" ds:itemID="{9C19B265-A4CA-4E61-A2F0-345A7A6CF872}"/>
</file>

<file path=customXml/itemProps3.xml><?xml version="1.0" encoding="utf-8"?>
<ds:datastoreItem xmlns:ds="http://schemas.openxmlformats.org/officeDocument/2006/customXml" ds:itemID="{115025D7-1819-447E-BEA1-ED81A08504C9}"/>
</file>

<file path=customXml/itemProps4.xml><?xml version="1.0" encoding="utf-8"?>
<ds:datastoreItem xmlns:ds="http://schemas.openxmlformats.org/officeDocument/2006/customXml" ds:itemID="{BE926C5A-9A0C-48B5-8E94-0774B241938D}"/>
</file>

<file path=docProps/app.xml><?xml version="1.0" encoding="utf-8"?>
<Properties xmlns="http://schemas.openxmlformats.org/officeDocument/2006/extended-properties" xmlns:vt="http://schemas.openxmlformats.org/officeDocument/2006/docPropsVTypes">
  <Template>Normal</Template>
  <TotalTime>5613</TotalTime>
  <Pages>20</Pages>
  <Words>2887</Words>
  <Characters>16461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Multi-Year Integrated Preparedness Plan</vt:lpstr>
    </vt:vector>
  </TitlesOfParts>
  <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Multi-Year Integrated Preparedness Plan</dc:title>
  <dc:creator/>
  <cp:lastModifiedBy>Amy Avery</cp:lastModifiedBy>
  <cp:revision>22</cp:revision>
  <cp:lastPrinted>2018-04-19T17:38:00Z</cp:lastPrinted>
  <dcterms:created xsi:type="dcterms:W3CDTF">2022-12-16T19:42:00Z</dcterms:created>
  <dcterms:modified xsi:type="dcterms:W3CDTF">2022-12-21T19:30:00Z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ies>
</file>