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3F378" w14:textId="77777777" w:rsidR="00A414E0" w:rsidRPr="006D69D2" w:rsidRDefault="00A414E0" w:rsidP="00A414E0">
      <w:pPr>
        <w:pStyle w:val="Heading1"/>
        <w:rPr>
          <w:color w:val="auto"/>
        </w:rPr>
      </w:pPr>
      <w:bookmarkStart w:id="0" w:name="Invoicing"/>
      <w:bookmarkStart w:id="1" w:name="_GoBack"/>
      <w:bookmarkEnd w:id="0"/>
      <w:bookmarkEnd w:id="1"/>
      <w:r w:rsidRPr="006D69D2">
        <w:rPr>
          <w:color w:val="auto"/>
        </w:rPr>
        <w:t>Invoicing and Payment</w:t>
      </w:r>
    </w:p>
    <w:p w14:paraId="32402E91" w14:textId="77777777" w:rsidR="00A414E0" w:rsidRPr="006D69D2" w:rsidRDefault="00A414E0" w:rsidP="00A414E0">
      <w:pPr>
        <w:numPr>
          <w:ilvl w:val="0"/>
          <w:numId w:val="17"/>
        </w:numPr>
        <w:rPr>
          <w:rFonts w:cs="Arial"/>
        </w:rPr>
      </w:pPr>
      <w:r w:rsidRPr="006D69D2">
        <w:t>In no event shall the Contractor request reimbursement from the State for obligations entered into or for costs incurred prior to the commencement date or after the expiration of this Agreement.</w:t>
      </w:r>
    </w:p>
    <w:p w14:paraId="634740B3" w14:textId="77777777" w:rsidR="00A414E0" w:rsidRPr="006D69D2" w:rsidRDefault="00A414E0" w:rsidP="00A414E0">
      <w:pPr>
        <w:numPr>
          <w:ilvl w:val="0"/>
          <w:numId w:val="17"/>
        </w:numPr>
        <w:rPr>
          <w:rFonts w:cs="Arial"/>
        </w:rPr>
      </w:pPr>
      <w:r w:rsidRPr="006D69D2">
        <w:rPr>
          <w:rFonts w:cs="Arial"/>
        </w:rPr>
        <w:t>For services satisfactorily rendered, and upon receipt and approval of the invoices, the State agrees to compensate the Contractor for actual expenditures incurred in accordance with the Budget Line Items amounts specified in Attachment X, of this Exhibit.</w:t>
      </w:r>
    </w:p>
    <w:p w14:paraId="3F89EC91" w14:textId="77777777" w:rsidR="00A414E0" w:rsidRPr="006D69D2" w:rsidRDefault="00A414E0" w:rsidP="00A414E0">
      <w:pPr>
        <w:numPr>
          <w:ilvl w:val="0"/>
          <w:numId w:val="17"/>
        </w:numPr>
        <w:rPr>
          <w:rFonts w:cs="Arial"/>
        </w:rPr>
      </w:pPr>
      <w:r w:rsidRPr="006D69D2">
        <w:rPr>
          <w:rFonts w:cs="Arial"/>
        </w:rPr>
        <w:t>Invoices shall include the Agreement Number and shall be submitted in triplicate not more frequently than monthly in arrears to</w:t>
      </w:r>
      <w:r w:rsidR="006B45FA" w:rsidRPr="006D69D2">
        <w:rPr>
          <w:rFonts w:cs="Arial"/>
        </w:rPr>
        <w:t>:</w:t>
      </w:r>
    </w:p>
    <w:p w14:paraId="294552D7" w14:textId="77777777" w:rsidR="00A414E0" w:rsidRPr="006D69D2" w:rsidRDefault="00A414E0" w:rsidP="00A414E0">
      <w:pPr>
        <w:ind w:left="1080"/>
        <w:rPr>
          <w:rFonts w:cs="Arial"/>
        </w:rPr>
      </w:pPr>
      <w:r w:rsidRPr="006D69D2">
        <w:t>[Name of a program person who will receive invoices]</w:t>
      </w:r>
    </w:p>
    <w:p w14:paraId="6387C59D" w14:textId="77777777" w:rsidR="00A414E0" w:rsidRPr="006D69D2" w:rsidRDefault="00A414E0" w:rsidP="00A414E0">
      <w:pPr>
        <w:ind w:left="1080"/>
      </w:pPr>
      <w:r w:rsidRPr="006D69D2">
        <w:t xml:space="preserve">California Department of Public </w:t>
      </w:r>
      <w:r w:rsidR="004F6E8C" w:rsidRPr="006D69D2">
        <w:t xml:space="preserve">Health </w:t>
      </w:r>
      <w:r w:rsidRPr="006D69D2">
        <w:br/>
        <w:t>[Enter Program name]</w:t>
      </w:r>
      <w:r w:rsidRPr="006D69D2">
        <w:br/>
      </w:r>
      <w:r w:rsidRPr="006D69D2">
        <w:rPr>
          <w:bCs/>
        </w:rPr>
        <w:t>[Enter MS Code unless it does not apply]</w:t>
      </w:r>
      <w:r w:rsidRPr="006D69D2">
        <w:rPr>
          <w:bCs/>
        </w:rPr>
        <w:br/>
      </w:r>
      <w:r w:rsidRPr="006D69D2">
        <w:t>[Enter street address, room/suite number or P.O. Box number]</w:t>
      </w:r>
      <w:r w:rsidRPr="006D69D2">
        <w:br/>
        <w:t>[Enter City, CA and Zip Code or P.O. Box Zip Code (if applicable)</w:t>
      </w:r>
    </w:p>
    <w:p w14:paraId="6AB50B1F" w14:textId="77777777" w:rsidR="00A414E0" w:rsidRPr="006D69D2" w:rsidRDefault="00A414E0" w:rsidP="00A414E0">
      <w:pPr>
        <w:ind w:left="1080"/>
      </w:pPr>
      <w:r w:rsidRPr="006D69D2">
        <w:t>The State, at its discretion, may designate an alternate invoice submission address.  A change in the invoice address shall be accomplished via a written notice to the Contractor by the State and shall not require an amendment to this agreement.</w:t>
      </w:r>
    </w:p>
    <w:p w14:paraId="3E78A477" w14:textId="77777777" w:rsidR="00A414E0" w:rsidRPr="006D69D2" w:rsidRDefault="00DB22E9" w:rsidP="00DB22E9">
      <w:pPr>
        <w:numPr>
          <w:ilvl w:val="0"/>
          <w:numId w:val="17"/>
        </w:numPr>
        <w:rPr>
          <w:rFonts w:cs="Arial"/>
        </w:rPr>
      </w:pPr>
      <w:r w:rsidRPr="006D69D2">
        <w:rPr>
          <w:rFonts w:cs="Arial"/>
        </w:rPr>
        <w:t>Invoices shall:</w:t>
      </w:r>
    </w:p>
    <w:p w14:paraId="354A3AE7" w14:textId="77777777" w:rsidR="00A414E0" w:rsidRPr="006D69D2" w:rsidRDefault="00A414E0" w:rsidP="00A414E0">
      <w:pPr>
        <w:numPr>
          <w:ilvl w:val="0"/>
          <w:numId w:val="14"/>
        </w:numPr>
        <w:tabs>
          <w:tab w:val="num" w:pos="1440"/>
        </w:tabs>
        <w:ind w:left="1440"/>
      </w:pPr>
      <w:r w:rsidRPr="006D69D2">
        <w:t>Be prepared on Contractor letterhead.  If invoices are not on produced letterhead invoices must be signed by an authorized official, employee or agent certifying that the expenditures claimed represent activities performed and are in accordance with Exhibit A.</w:t>
      </w:r>
    </w:p>
    <w:p w14:paraId="7BC2894E" w14:textId="77777777" w:rsidR="00A414E0" w:rsidRPr="006D69D2" w:rsidRDefault="00A414E0" w:rsidP="00A414E0">
      <w:pPr>
        <w:numPr>
          <w:ilvl w:val="0"/>
          <w:numId w:val="14"/>
        </w:numPr>
        <w:tabs>
          <w:tab w:val="num" w:pos="1440"/>
        </w:tabs>
        <w:ind w:left="1440"/>
      </w:pPr>
      <w:r w:rsidRPr="006D69D2">
        <w:t>Invoices must be submitted to CDPH electronically only.  Hard copies are not required.</w:t>
      </w:r>
    </w:p>
    <w:p w14:paraId="711A69EC" w14:textId="77777777" w:rsidR="00A414E0" w:rsidRPr="006D69D2" w:rsidRDefault="00A414E0" w:rsidP="00A414E0">
      <w:pPr>
        <w:numPr>
          <w:ilvl w:val="0"/>
          <w:numId w:val="14"/>
        </w:numPr>
        <w:tabs>
          <w:tab w:val="num" w:pos="1440"/>
        </w:tabs>
        <w:ind w:left="1440"/>
      </w:pPr>
      <w:r w:rsidRPr="006D69D2">
        <w:t>Identify the billing and/or performance period covered by the invoice.</w:t>
      </w:r>
    </w:p>
    <w:p w14:paraId="1D5E74DA" w14:textId="77777777" w:rsidR="00A414E0" w:rsidRPr="006D69D2" w:rsidRDefault="00A414E0" w:rsidP="00A414E0">
      <w:pPr>
        <w:numPr>
          <w:ilvl w:val="0"/>
          <w:numId w:val="14"/>
        </w:numPr>
        <w:tabs>
          <w:tab w:val="num" w:pos="1440"/>
        </w:tabs>
        <w:ind w:left="1440"/>
      </w:pPr>
      <w:r w:rsidRPr="006D69D2">
        <w:t xml:space="preserve">Itemize costs for the billing period in the same or greater level of detail as indicated in this agreement.  Subject to the terms of this agreement, reimbursement may only be sought for those costs and/or cost categories expressly identified as allowable in this agreement and approved by CDPH. </w:t>
      </w:r>
    </w:p>
    <w:p w14:paraId="4BB59B3F" w14:textId="77777777" w:rsidR="00A414E0" w:rsidRPr="006D69D2" w:rsidRDefault="00A414E0" w:rsidP="00A414E0">
      <w:pPr>
        <w:pStyle w:val="Heading1"/>
        <w:rPr>
          <w:color w:val="auto"/>
        </w:rPr>
      </w:pPr>
      <w:bookmarkStart w:id="2" w:name="BudgetContingency"/>
      <w:bookmarkEnd w:id="2"/>
      <w:r w:rsidRPr="006D69D2">
        <w:rPr>
          <w:color w:val="auto"/>
        </w:rPr>
        <w:t>Budget Contingency Clause [Required DGS provision]</w:t>
      </w:r>
    </w:p>
    <w:p w14:paraId="1111A7BE" w14:textId="77777777" w:rsidR="00A414E0" w:rsidRPr="006D69D2" w:rsidRDefault="00A414E0" w:rsidP="00A414E0">
      <w:pPr>
        <w:ind w:left="1080" w:hanging="360"/>
        <w:rPr>
          <w:rFonts w:cs="Arial"/>
        </w:rPr>
      </w:pPr>
      <w:r w:rsidRPr="006D69D2">
        <w:rPr>
          <w:rFonts w:cs="Arial"/>
        </w:rPr>
        <w:t>A.</w:t>
      </w:r>
      <w:r w:rsidRPr="006D69D2">
        <w:rPr>
          <w:rFonts w:cs="Arial"/>
        </w:rPr>
        <w:tab/>
        <w:t>It is mutually agreed that if the Budget Act of the current year and/or any subsequent years covered under this Agreement does not appropriate sufficient funds for the program, this Agreement shall be of no further force and effect.  In this event, the State shall have no liability to pay any funds whatsoever to Contractor or to furnish any other considerations under this Agreement and Contractor shall not be obligated to perform any provisions of this Agreement.</w:t>
      </w:r>
    </w:p>
    <w:p w14:paraId="6D5CCE0E" w14:textId="77777777" w:rsidR="00A414E0" w:rsidRPr="006D69D2" w:rsidRDefault="00A414E0" w:rsidP="00A414E0">
      <w:pPr>
        <w:numPr>
          <w:ilvl w:val="0"/>
          <w:numId w:val="7"/>
        </w:numPr>
        <w:tabs>
          <w:tab w:val="num" w:pos="1080"/>
        </w:tabs>
        <w:ind w:left="1080"/>
        <w:rPr>
          <w:rFonts w:cs="Arial"/>
        </w:rPr>
      </w:pPr>
      <w:r w:rsidRPr="006D69D2">
        <w:rPr>
          <w:rFonts w:cs="Arial"/>
        </w:rPr>
        <w:t xml:space="preserve">If funding for any fiscal year is reduced or deleted by the Budget Act for purposes of this program, the State shall have the option to either cancel this Agreement with no liability </w:t>
      </w:r>
      <w:r w:rsidRPr="006D69D2">
        <w:rPr>
          <w:rFonts w:cs="Arial"/>
        </w:rPr>
        <w:lastRenderedPageBreak/>
        <w:t>occurring to the State, or offer an agreement amendment to Contractor to reflect the reduced amount.</w:t>
      </w:r>
    </w:p>
    <w:p w14:paraId="1C59EB78" w14:textId="77777777" w:rsidR="00A414E0" w:rsidRPr="006D69D2" w:rsidRDefault="00A414E0" w:rsidP="00A414E0">
      <w:pPr>
        <w:pStyle w:val="Heading1"/>
        <w:rPr>
          <w:color w:val="auto"/>
        </w:rPr>
      </w:pPr>
      <w:bookmarkStart w:id="3" w:name="PrompPay"/>
      <w:bookmarkEnd w:id="3"/>
      <w:r w:rsidRPr="006D69D2">
        <w:rPr>
          <w:color w:val="auto"/>
        </w:rPr>
        <w:t>Prompt Payment Clause [Required DGS provision]</w:t>
      </w:r>
    </w:p>
    <w:p w14:paraId="40AB2227" w14:textId="77777777" w:rsidR="00A414E0" w:rsidRPr="006D69D2" w:rsidRDefault="00A414E0" w:rsidP="00A414E0">
      <w:pPr>
        <w:ind w:left="720"/>
        <w:rPr>
          <w:rFonts w:cs="Arial"/>
        </w:rPr>
      </w:pPr>
      <w:r w:rsidRPr="006D69D2">
        <w:rPr>
          <w:rFonts w:cs="Arial"/>
        </w:rPr>
        <w:t>Payment will be made in accordance with, and within the time specified in, Government Code Chapter 4.5, commencing with Section 927.</w:t>
      </w:r>
    </w:p>
    <w:p w14:paraId="0049F78E" w14:textId="77777777" w:rsidR="00A414E0" w:rsidRPr="006D69D2" w:rsidRDefault="00A414E0" w:rsidP="00A414E0">
      <w:pPr>
        <w:pStyle w:val="Heading1"/>
        <w:rPr>
          <w:color w:val="auto"/>
        </w:rPr>
      </w:pPr>
      <w:bookmarkStart w:id="4" w:name="AmtPayable"/>
      <w:bookmarkStart w:id="5" w:name="TimelySubmission"/>
      <w:bookmarkEnd w:id="4"/>
      <w:bookmarkEnd w:id="5"/>
      <w:r w:rsidRPr="006D69D2">
        <w:rPr>
          <w:color w:val="auto"/>
        </w:rPr>
        <w:t>Timely Submission of Final Invoice</w:t>
      </w:r>
    </w:p>
    <w:p w14:paraId="30AABDB5" w14:textId="77777777" w:rsidR="00A414E0" w:rsidRPr="006D69D2" w:rsidRDefault="00A414E0" w:rsidP="00A414E0">
      <w:pPr>
        <w:numPr>
          <w:ilvl w:val="0"/>
          <w:numId w:val="11"/>
        </w:numPr>
      </w:pPr>
      <w:r w:rsidRPr="006D69D2">
        <w:t xml:space="preserve">A final undisputed invoice shall be submitted for payment no more than </w:t>
      </w:r>
      <w:r w:rsidRPr="006D69D2">
        <w:rPr>
          <w:i/>
        </w:rPr>
        <w:t>thirty (30)</w:t>
      </w:r>
      <w:r w:rsidRPr="006D69D2">
        <w:t xml:space="preserve"> calendar days following the expiration or termination date of this agreement, unless a later or alternate deadline is agreed to in writing by the program contract manager.  Said invoice should be clearly marked “Final Invoice”, indicating that all payment obligations of the State under this agreement have ceased and that no further payments are due or outstanding. The State may, at its discretion, choose not to honor any delinquent final invoice if the Contractor fails to obtain prior written State approval of an alternate final invoice submission deadline. </w:t>
      </w:r>
    </w:p>
    <w:p w14:paraId="213C884C" w14:textId="77777777" w:rsidR="00A414E0" w:rsidRPr="006D69D2" w:rsidRDefault="00A414E0" w:rsidP="00A414E0">
      <w:pPr>
        <w:numPr>
          <w:ilvl w:val="0"/>
          <w:numId w:val="11"/>
        </w:numPr>
      </w:pPr>
      <w:r w:rsidRPr="006D69D2">
        <w:t xml:space="preserve"> The Contractor is hereby advised of its obligation to submit to the state, with the final invoice, a completed copy of the </w:t>
      </w:r>
      <w:r w:rsidRPr="006D69D2">
        <w:rPr>
          <w:b/>
        </w:rPr>
        <w:t>“Contractor’s Release (Exhibit __)”.</w:t>
      </w:r>
      <w:r w:rsidRPr="006D69D2">
        <w:t xml:space="preserve"> </w:t>
      </w:r>
    </w:p>
    <w:p w14:paraId="2A458EAC" w14:textId="77777777" w:rsidR="00A414E0" w:rsidRPr="006D69D2" w:rsidRDefault="00A414E0" w:rsidP="00A414E0">
      <w:pPr>
        <w:pStyle w:val="Heading1"/>
        <w:rPr>
          <w:color w:val="auto"/>
        </w:rPr>
      </w:pPr>
      <w:r w:rsidRPr="006D69D2">
        <w:rPr>
          <w:color w:val="auto"/>
        </w:rPr>
        <w:t xml:space="preserve">Allowable Line Item Shifts  </w:t>
      </w:r>
    </w:p>
    <w:p w14:paraId="497F25C4" w14:textId="77777777" w:rsidR="00A414E0" w:rsidRPr="006D69D2" w:rsidRDefault="00A414E0" w:rsidP="00A414E0">
      <w:pPr>
        <w:tabs>
          <w:tab w:val="left" w:pos="360"/>
        </w:tabs>
        <w:ind w:left="1080" w:hanging="360"/>
      </w:pPr>
      <w:r w:rsidRPr="006D69D2">
        <w:t>A.</w:t>
      </w:r>
      <w:r w:rsidRPr="006D69D2">
        <w:tab/>
        <w:t xml:space="preserve">Subject to the prior review and approval of the State, line item shifts of up to fifteen percent (15%) of the annual contract total, not to exceed a maximum of one hundred thousand ($100,000) annually are allowed, so long as the annual agreement total neither increases nor decreases.  </w:t>
      </w:r>
    </w:p>
    <w:p w14:paraId="2DD89C68" w14:textId="77777777" w:rsidR="00A414E0" w:rsidRPr="006D69D2" w:rsidRDefault="00A414E0" w:rsidP="00A414E0">
      <w:pPr>
        <w:tabs>
          <w:tab w:val="left" w:pos="360"/>
        </w:tabs>
        <w:ind w:left="1080" w:hanging="360"/>
      </w:pPr>
      <w:r w:rsidRPr="006D69D2">
        <w:t>B</w:t>
      </w:r>
      <w:r w:rsidRPr="006D69D2">
        <w:tab/>
        <w:t>The $100,000 maximum limit shall be assessed annually and automatically adjusted by the State in accordance with cost-of-living indexes.  Said adjustments shall not require a formal agreement amendment.  The State shall annually inform the Contractor in writing of the adjusted maximum.</w:t>
      </w:r>
    </w:p>
    <w:p w14:paraId="69F51134" w14:textId="77777777" w:rsidR="00A414E0" w:rsidRPr="006D69D2" w:rsidRDefault="00A414E0" w:rsidP="00A414E0">
      <w:pPr>
        <w:tabs>
          <w:tab w:val="left" w:pos="360"/>
        </w:tabs>
        <w:ind w:left="1080" w:hanging="360"/>
      </w:pPr>
      <w:r w:rsidRPr="006D69D2">
        <w:t>C.</w:t>
      </w:r>
      <w:r w:rsidRPr="006D69D2">
        <w:tab/>
        <w:t>Line item shifts meeting this criteria shall not require a formal agreement amendment.</w:t>
      </w:r>
    </w:p>
    <w:p w14:paraId="79A1E668" w14:textId="77777777" w:rsidR="00A414E0" w:rsidRPr="006D69D2" w:rsidRDefault="00A414E0" w:rsidP="00A414E0">
      <w:pPr>
        <w:tabs>
          <w:tab w:val="left" w:pos="360"/>
        </w:tabs>
        <w:ind w:left="1080" w:hanging="360"/>
      </w:pPr>
      <w:r w:rsidRPr="006D69D2">
        <w:t>D.</w:t>
      </w:r>
      <w:r w:rsidRPr="006D69D2">
        <w:tab/>
        <w:t>The Contractor shall adhere to State requirements regarding the process requesting approval to line item shifts.</w:t>
      </w:r>
    </w:p>
    <w:p w14:paraId="531120E9" w14:textId="77777777" w:rsidR="00A414E0" w:rsidRPr="006D69D2" w:rsidRDefault="00A414E0" w:rsidP="00A414E0">
      <w:pPr>
        <w:tabs>
          <w:tab w:val="left" w:pos="1080"/>
        </w:tabs>
        <w:ind w:left="720"/>
        <w:rPr>
          <w:b/>
          <w:highlight w:val="lightGray"/>
        </w:rPr>
      </w:pPr>
      <w:r w:rsidRPr="006D69D2">
        <w:t>E.</w:t>
      </w:r>
      <w:r w:rsidRPr="006D69D2">
        <w:tab/>
        <w:t>Line item shifts may be proposed/requested by either the State or the Contractor.</w:t>
      </w:r>
    </w:p>
    <w:p w14:paraId="532871AC" w14:textId="77777777" w:rsidR="00A414E0" w:rsidRPr="006D69D2" w:rsidRDefault="00A414E0" w:rsidP="00A414E0">
      <w:pPr>
        <w:pStyle w:val="Heading1"/>
        <w:rPr>
          <w:strike/>
          <w:color w:val="auto"/>
        </w:rPr>
      </w:pPr>
      <w:bookmarkStart w:id="6" w:name="Travel"/>
      <w:bookmarkStart w:id="7" w:name="OtherProvs"/>
      <w:bookmarkStart w:id="8" w:name="Prov8"/>
      <w:bookmarkEnd w:id="6"/>
      <w:bookmarkEnd w:id="7"/>
      <w:r w:rsidRPr="006D69D2">
        <w:rPr>
          <w:color w:val="auto"/>
        </w:rPr>
        <w:t>Expense Allowability / Fiscal Documentation</w:t>
      </w:r>
      <w:bookmarkEnd w:id="8"/>
      <w:r w:rsidRPr="006D69D2">
        <w:rPr>
          <w:bCs/>
          <w:color w:val="auto"/>
        </w:rPr>
        <w:t xml:space="preserve"> </w:t>
      </w:r>
    </w:p>
    <w:p w14:paraId="519DA3F5" w14:textId="77777777" w:rsidR="00A414E0" w:rsidRPr="006D69D2" w:rsidRDefault="00A414E0" w:rsidP="00A414E0">
      <w:pPr>
        <w:numPr>
          <w:ilvl w:val="0"/>
          <w:numId w:val="23"/>
        </w:numPr>
        <w:rPr>
          <w:rFonts w:cs="Arial"/>
        </w:rPr>
      </w:pPr>
      <w:r w:rsidRPr="006D69D2">
        <w:rPr>
          <w:rFonts w:cs="Arial"/>
        </w:rPr>
        <w:t>Invoices, received from the Contractor and accepted for payment by the State, shall not be deemed evidence of allowable agreement costs.</w:t>
      </w:r>
    </w:p>
    <w:p w14:paraId="27A7CAFE" w14:textId="77777777" w:rsidR="00A414E0" w:rsidRPr="006D69D2" w:rsidRDefault="00A414E0" w:rsidP="00A414E0">
      <w:pPr>
        <w:numPr>
          <w:ilvl w:val="0"/>
          <w:numId w:val="23"/>
        </w:numPr>
        <w:rPr>
          <w:rFonts w:cs="Arial"/>
        </w:rPr>
      </w:pPr>
      <w:r w:rsidRPr="006D69D2">
        <w:rPr>
          <w:rFonts w:cs="Arial"/>
        </w:rPr>
        <w:t xml:space="preserve">Contractor shall maintain for review and audit and supply to CDPH upon request, adequate documentation of all expenses claimed pursuant to this agreement to permit a determination of expense allowability. </w:t>
      </w:r>
    </w:p>
    <w:p w14:paraId="6B2335B5" w14:textId="77777777" w:rsidR="00A414E0" w:rsidRPr="006D69D2" w:rsidRDefault="00A414E0" w:rsidP="00A414E0">
      <w:pPr>
        <w:numPr>
          <w:ilvl w:val="0"/>
          <w:numId w:val="23"/>
        </w:numPr>
        <w:rPr>
          <w:bCs/>
        </w:rPr>
      </w:pPr>
      <w:r w:rsidRPr="006D69D2">
        <w:rPr>
          <w:rFonts w:cs="Arial"/>
        </w:rPr>
        <w:lastRenderedPageBreak/>
        <w:t xml:space="preserve">If the allowability of an expense cannot be determined by the State because </w:t>
      </w:r>
      <w:r w:rsidRPr="006D69D2">
        <w:t xml:space="preserve">invoice detail, </w:t>
      </w:r>
      <w:r w:rsidRPr="006D69D2">
        <w:rPr>
          <w:rFonts w:cs="Arial"/>
        </w:rPr>
        <w:t>fiscal records, or</w:t>
      </w:r>
      <w:r w:rsidRPr="006D69D2">
        <w:t xml:space="preserve"> backup documentation</w:t>
      </w:r>
      <w:r w:rsidRPr="006D69D2">
        <w:rPr>
          <w:rFonts w:cs="Arial"/>
        </w:rPr>
        <w:t xml:space="preserve"> is nonexistent or inadequate according to generally accepted accounting principles or practices, all questionable costs may be disallowed and payment may be withheld by the State.  </w:t>
      </w:r>
      <w:r w:rsidRPr="006D69D2">
        <w:t>Upon receipt of adequate documentation supporting a disallowed or questionable expense, reimbursement may resume for the amount substantiated and deemed allowable.</w:t>
      </w:r>
    </w:p>
    <w:p w14:paraId="40D04CE0" w14:textId="77777777" w:rsidR="00A414E0" w:rsidRPr="006D69D2" w:rsidRDefault="00A414E0" w:rsidP="00A414E0">
      <w:pPr>
        <w:pStyle w:val="Heading1"/>
        <w:rPr>
          <w:color w:val="auto"/>
        </w:rPr>
      </w:pPr>
      <w:r w:rsidRPr="006D69D2">
        <w:rPr>
          <w:color w:val="auto"/>
        </w:rPr>
        <w:t>Recovery of Overpayments</w:t>
      </w:r>
    </w:p>
    <w:p w14:paraId="12220B6A" w14:textId="77777777" w:rsidR="00A414E0" w:rsidRPr="006D69D2" w:rsidRDefault="00A414E0" w:rsidP="00A414E0">
      <w:pPr>
        <w:numPr>
          <w:ilvl w:val="0"/>
          <w:numId w:val="22"/>
        </w:numPr>
      </w:pPr>
      <w:r w:rsidRPr="006D69D2">
        <w:t>Contractor agrees that claims based upon the terms of this agreement  or an audit finding and/or an audit finding that is appealed and upheld, will be recovered by the State by one of the following options:</w:t>
      </w:r>
    </w:p>
    <w:p w14:paraId="3F1C9369" w14:textId="77777777" w:rsidR="00A414E0" w:rsidRPr="006D69D2" w:rsidRDefault="00A414E0" w:rsidP="00A414E0">
      <w:pPr>
        <w:numPr>
          <w:ilvl w:val="1"/>
          <w:numId w:val="22"/>
        </w:numPr>
      </w:pPr>
      <w:r w:rsidRPr="006D69D2">
        <w:t>Contractor’s remittance to the State of the full amount of the audit exception within 30 days following the State’s request for repayment;</w:t>
      </w:r>
    </w:p>
    <w:p w14:paraId="464FFBEF" w14:textId="77777777" w:rsidR="00A414E0" w:rsidRPr="006D69D2" w:rsidRDefault="00A414E0" w:rsidP="00A414E0">
      <w:pPr>
        <w:numPr>
          <w:ilvl w:val="1"/>
          <w:numId w:val="22"/>
        </w:numPr>
      </w:pPr>
      <w:r w:rsidRPr="006D69D2">
        <w:t>A repayment schedule agreeable between the State and the Contractor.</w:t>
      </w:r>
    </w:p>
    <w:p w14:paraId="0580E308" w14:textId="77777777" w:rsidR="00A414E0" w:rsidRPr="006D69D2" w:rsidRDefault="00A414E0" w:rsidP="00A414E0">
      <w:pPr>
        <w:numPr>
          <w:ilvl w:val="0"/>
          <w:numId w:val="22"/>
        </w:numPr>
      </w:pPr>
      <w:r w:rsidRPr="006D69D2">
        <w:t>The State reserves the right to select which option as indicated above in paragraph A will be employed and the Contractor will be notified by the State in writing of the claim procedure to be utilized.</w:t>
      </w:r>
    </w:p>
    <w:p w14:paraId="3C927044" w14:textId="77777777" w:rsidR="00A414E0" w:rsidRPr="006D69D2" w:rsidRDefault="00A414E0" w:rsidP="00A414E0">
      <w:pPr>
        <w:numPr>
          <w:ilvl w:val="0"/>
          <w:numId w:val="22"/>
        </w:numPr>
        <w:rPr>
          <w:bCs/>
        </w:rPr>
      </w:pPr>
      <w:r w:rsidRPr="006D69D2">
        <w:t>Interest on the unpaid balance of the audit finding or debt will accrue at a rate equal to the monthly average of the rate received on investments in the Pooled Money Investment Fund commencing on the date that an audit or examination finding is mailed to the Contractor, beginning 30 days after Contractor’s receipt of the State’s demand for repayment.</w:t>
      </w:r>
    </w:p>
    <w:p w14:paraId="58E9A9AF" w14:textId="77777777" w:rsidR="00A414E0" w:rsidRPr="006D69D2" w:rsidRDefault="00A414E0" w:rsidP="00A414E0">
      <w:pPr>
        <w:numPr>
          <w:ilvl w:val="0"/>
          <w:numId w:val="22"/>
        </w:numPr>
        <w:rPr>
          <w:bCs/>
        </w:rPr>
      </w:pPr>
      <w:r w:rsidRPr="006D69D2">
        <w:t>If the Contractor has filed a valid appeal regarding the report of audit findings, recovery of the overpayments will be deferred until a final administrative decision on the appeal has been reached.  If the Contractor loses the final administrative appeal, Contractor shall repay, to the State, the over-claimed or disallowed expenses, plus accrued interest.  Interest accrues from the Contractor’s first receipt of State’s notice requesting reimbursement of questioned audit costs or disallowed expenses.</w:t>
      </w:r>
    </w:p>
    <w:p w14:paraId="171F7545" w14:textId="77777777" w:rsidR="00A414E0" w:rsidRPr="006D69D2" w:rsidRDefault="00A414E0" w:rsidP="00A414E0">
      <w:pPr>
        <w:pStyle w:val="Heading1"/>
        <w:rPr>
          <w:bCs/>
          <w:color w:val="auto"/>
        </w:rPr>
      </w:pPr>
      <w:r w:rsidRPr="006D69D2">
        <w:rPr>
          <w:color w:val="auto"/>
        </w:rPr>
        <w:t xml:space="preserve">Travel and Per Diem Reimbursement </w:t>
      </w:r>
    </w:p>
    <w:p w14:paraId="2CE2919D" w14:textId="77777777" w:rsidR="00A414E0" w:rsidRPr="006D69D2" w:rsidRDefault="00A414E0" w:rsidP="00A414E0">
      <w:pPr>
        <w:widowControl w:val="0"/>
        <w:ind w:left="720"/>
      </w:pPr>
      <w:r w:rsidRPr="006D69D2">
        <w:rPr>
          <w:rFonts w:cs="Arial"/>
          <w:szCs w:val="22"/>
        </w:rPr>
        <w:t>Any reimbursement for necessary travel and per diem shall, unless otherwise specified in this Agreement, be at the rates currently in effect, as established by the California Department of Human Resources (Cal HR).  If the Cal HR rates change during the term of the Agreement, the new rates shall apply upon their effective date and no amendment to this Agreement shall be necessary.  No travel outside the state of California shall be reimbursed without prior authorization from the CDPH.  Verbal authorization should be confirmed in writing.  Written authorization may be in a form including fax or email confirmation.</w:t>
      </w:r>
      <w:r w:rsidRPr="006D69D2">
        <w:t xml:space="preserve"> See CalHR website:</w:t>
      </w:r>
    </w:p>
    <w:p w14:paraId="0AF8FAB2" w14:textId="77777777" w:rsidR="00A414E0" w:rsidRPr="006D69D2" w:rsidRDefault="00A414E0" w:rsidP="00A414E0">
      <w:pPr>
        <w:widowControl w:val="0"/>
        <w:ind w:left="720"/>
      </w:pPr>
      <w:r w:rsidRPr="006D69D2">
        <w:t xml:space="preserve"> </w:t>
      </w:r>
      <w:hyperlink r:id="rId12" w:tooltip="State of California Travel Reimbursement Rates" w:history="1">
        <w:r w:rsidRPr="006D69D2">
          <w:rPr>
            <w:rStyle w:val="Hyperlink"/>
            <w:color w:val="auto"/>
          </w:rPr>
          <w:t>http://www.calhr.ca.gov/employees/Pages/travel-reimbursements.aspx</w:t>
        </w:r>
      </w:hyperlink>
    </w:p>
    <w:sectPr w:rsidR="00A414E0" w:rsidRPr="006D69D2">
      <w:headerReference w:type="default" r:id="rId13"/>
      <w:footerReference w:type="default" r:id="rId14"/>
      <w:pgSz w:w="12240" w:h="15840" w:code="1"/>
      <w:pgMar w:top="720" w:right="720" w:bottom="720"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B3B95" w14:textId="77777777" w:rsidR="00984256" w:rsidRDefault="00984256">
      <w:r>
        <w:separator/>
      </w:r>
    </w:p>
  </w:endnote>
  <w:endnote w:type="continuationSeparator" w:id="0">
    <w:p w14:paraId="0E5BB20F" w14:textId="77777777" w:rsidR="00984256" w:rsidRDefault="0098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6789" w14:textId="77777777" w:rsidR="00032A5F" w:rsidRDefault="00032A5F">
    <w:pPr>
      <w:jc w:val="center"/>
      <w:rPr>
        <w:rFonts w:cs="Arial"/>
        <w:color w:val="000000"/>
      </w:rPr>
    </w:pPr>
  </w:p>
  <w:p w14:paraId="7FD7F0CC" w14:textId="77777777" w:rsidR="00032A5F" w:rsidRDefault="00032A5F">
    <w:pPr>
      <w:jc w:val="center"/>
      <w:rPr>
        <w:rFonts w:cs="Arial"/>
        <w:color w:val="0000FF"/>
      </w:rPr>
    </w:pPr>
    <w:r>
      <w:rPr>
        <w:rFonts w:cs="Arial"/>
        <w:color w:val="000000"/>
      </w:rPr>
      <w:t xml:space="preserve">Page </w:t>
    </w:r>
    <w:r w:rsidR="00A414E0">
      <w:rPr>
        <w:rFonts w:cs="Arial"/>
        <w:color w:val="000000"/>
      </w:rPr>
      <w:fldChar w:fldCharType="begin"/>
    </w:r>
    <w:r w:rsidR="00A414E0">
      <w:rPr>
        <w:rFonts w:cs="Arial"/>
        <w:color w:val="000000"/>
      </w:rPr>
      <w:instrText xml:space="preserve"> PAGE   \* MERGEFORMAT </w:instrText>
    </w:r>
    <w:r w:rsidR="00A414E0">
      <w:rPr>
        <w:rFonts w:cs="Arial"/>
        <w:color w:val="000000"/>
      </w:rPr>
      <w:fldChar w:fldCharType="separate"/>
    </w:r>
    <w:r w:rsidR="00681DCD">
      <w:rPr>
        <w:rFonts w:cs="Arial"/>
        <w:noProof/>
        <w:color w:val="000000"/>
      </w:rPr>
      <w:t>3</w:t>
    </w:r>
    <w:r w:rsidR="00A414E0">
      <w:rPr>
        <w:rFonts w:cs="Arial"/>
        <w:color w:val="000000"/>
      </w:rPr>
      <w:fldChar w:fldCharType="end"/>
    </w:r>
    <w:r w:rsidR="00A414E0">
      <w:rPr>
        <w:rFonts w:cs="Arial"/>
        <w:color w:val="000000"/>
      </w:rPr>
      <w:t xml:space="preserve"> of </w:t>
    </w:r>
    <w:r w:rsidR="00A414E0">
      <w:rPr>
        <w:rFonts w:cs="Arial"/>
        <w:color w:val="000000"/>
      </w:rPr>
      <w:fldChar w:fldCharType="begin"/>
    </w:r>
    <w:r w:rsidR="00A414E0">
      <w:rPr>
        <w:rFonts w:cs="Arial"/>
        <w:color w:val="000000"/>
      </w:rPr>
      <w:instrText xml:space="preserve"> NUMPAGES   \* MERGEFORMAT </w:instrText>
    </w:r>
    <w:r w:rsidR="00A414E0">
      <w:rPr>
        <w:rFonts w:cs="Arial"/>
        <w:color w:val="000000"/>
      </w:rPr>
      <w:fldChar w:fldCharType="separate"/>
    </w:r>
    <w:r w:rsidR="00681DCD">
      <w:rPr>
        <w:rFonts w:cs="Arial"/>
        <w:noProof/>
        <w:color w:val="000000"/>
      </w:rPr>
      <w:t>3</w:t>
    </w:r>
    <w:r w:rsidR="00A414E0">
      <w:rP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4EDBD" w14:textId="77777777" w:rsidR="00984256" w:rsidRDefault="00984256">
      <w:r>
        <w:separator/>
      </w:r>
    </w:p>
  </w:footnote>
  <w:footnote w:type="continuationSeparator" w:id="0">
    <w:p w14:paraId="5566641C" w14:textId="77777777" w:rsidR="00984256" w:rsidRDefault="0098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9A23" w14:textId="77777777" w:rsidR="00CF4B67" w:rsidRPr="00CF4B67" w:rsidRDefault="00CF4B67" w:rsidP="00CF4B67">
    <w:pPr>
      <w:tabs>
        <w:tab w:val="center" w:pos="4680"/>
        <w:tab w:val="right" w:pos="9360"/>
      </w:tabs>
      <w:spacing w:after="0"/>
      <w:jc w:val="right"/>
      <w:rPr>
        <w:rFonts w:eastAsia="Calibri" w:cs="Arial"/>
        <w:szCs w:val="22"/>
      </w:rPr>
    </w:pPr>
    <w:r w:rsidRPr="00CF4B67">
      <w:rPr>
        <w:rFonts w:eastAsia="Calibri" w:cs="Arial"/>
        <w:szCs w:val="22"/>
      </w:rPr>
      <w:t xml:space="preserve">Appendix </w:t>
    </w:r>
    <w:r w:rsidR="005A0D18">
      <w:rPr>
        <w:rFonts w:eastAsia="Calibri" w:cs="Arial"/>
        <w:szCs w:val="22"/>
      </w:rPr>
      <w:t>6</w:t>
    </w:r>
  </w:p>
  <w:p w14:paraId="08D22395" w14:textId="77777777" w:rsidR="00CF4B67" w:rsidRPr="00CF4B67" w:rsidRDefault="00CF4B67" w:rsidP="00CF4B67">
    <w:pPr>
      <w:tabs>
        <w:tab w:val="center" w:pos="4680"/>
        <w:tab w:val="right" w:pos="9360"/>
      </w:tabs>
      <w:spacing w:after="0"/>
      <w:jc w:val="right"/>
      <w:rPr>
        <w:rFonts w:eastAsia="Calibri" w:cs="Arial"/>
        <w:szCs w:val="22"/>
      </w:rPr>
    </w:pPr>
    <w:r w:rsidRPr="00CF4B67">
      <w:rPr>
        <w:rFonts w:eastAsia="Calibri" w:cs="Arial"/>
        <w:szCs w:val="22"/>
      </w:rPr>
      <w:t>CA PREP</w:t>
    </w:r>
  </w:p>
  <w:p w14:paraId="00ABD024" w14:textId="77777777" w:rsidR="00CF4B67" w:rsidRPr="00CF4B67" w:rsidRDefault="00CF4B67" w:rsidP="00CF4B67">
    <w:pPr>
      <w:tabs>
        <w:tab w:val="center" w:pos="4680"/>
        <w:tab w:val="right" w:pos="9360"/>
      </w:tabs>
      <w:spacing w:after="0"/>
      <w:jc w:val="right"/>
      <w:rPr>
        <w:rFonts w:eastAsia="Calibri" w:cs="Arial"/>
        <w:szCs w:val="22"/>
      </w:rPr>
    </w:pPr>
    <w:r w:rsidRPr="00CF4B67">
      <w:rPr>
        <w:rFonts w:eastAsia="Calibri" w:cs="Arial"/>
        <w:szCs w:val="22"/>
      </w:rPr>
      <w:t>#18-10012</w:t>
    </w:r>
  </w:p>
  <w:p w14:paraId="5A5CB3B8" w14:textId="77777777" w:rsidR="00032A5F" w:rsidRDefault="00032A5F">
    <w:pPr>
      <w:pStyle w:val="Header"/>
      <w:jc w:val="center"/>
    </w:pPr>
    <w:r>
      <w:rPr>
        <w:b/>
      </w:rPr>
      <w:t>Exhibit B</w:t>
    </w:r>
    <w:r w:rsidR="00C27DF1">
      <w:rPr>
        <w:b/>
      </w:rPr>
      <w:br/>
    </w:r>
    <w:r>
      <w:rPr>
        <w:bCs/>
      </w:rPr>
      <w:t>Budget Detail and Payment Provisions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10DA"/>
    <w:multiLevelType w:val="singleLevel"/>
    <w:tmpl w:val="77D808EE"/>
    <w:lvl w:ilvl="0">
      <w:start w:val="2"/>
      <w:numFmt w:val="upperLetter"/>
      <w:lvlText w:val="%1."/>
      <w:lvlJc w:val="left"/>
      <w:pPr>
        <w:tabs>
          <w:tab w:val="num" w:pos="720"/>
        </w:tabs>
        <w:ind w:left="720" w:hanging="360"/>
      </w:pPr>
      <w:rPr>
        <w:rFonts w:hint="default"/>
      </w:rPr>
    </w:lvl>
  </w:abstractNum>
  <w:abstractNum w:abstractNumId="1" w15:restartNumberingAfterBreak="0">
    <w:nsid w:val="1ACB0896"/>
    <w:multiLevelType w:val="hybridMultilevel"/>
    <w:tmpl w:val="4148DB72"/>
    <w:lvl w:ilvl="0" w:tplc="28D61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C6054"/>
    <w:multiLevelType w:val="hybridMultilevel"/>
    <w:tmpl w:val="63F4E3F2"/>
    <w:lvl w:ilvl="0" w:tplc="080C0A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F268A1"/>
    <w:multiLevelType w:val="multilevel"/>
    <w:tmpl w:val="7714973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2BD36C56"/>
    <w:multiLevelType w:val="hybridMultilevel"/>
    <w:tmpl w:val="C5504626"/>
    <w:lvl w:ilvl="0" w:tplc="2A6A72EA">
      <w:start w:val="3"/>
      <w:numFmt w:val="lowerLetter"/>
      <w:lvlText w:val="%1."/>
      <w:lvlJc w:val="left"/>
      <w:pPr>
        <w:tabs>
          <w:tab w:val="num" w:pos="720"/>
        </w:tabs>
        <w:ind w:left="720" w:hanging="360"/>
      </w:pPr>
      <w:rPr>
        <w:rFonts w:hint="default"/>
      </w:rPr>
    </w:lvl>
    <w:lvl w:ilvl="1" w:tplc="6FD497DA">
      <w:start w:val="3"/>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623AA8"/>
    <w:multiLevelType w:val="singleLevel"/>
    <w:tmpl w:val="D172A3A4"/>
    <w:lvl w:ilvl="0">
      <w:start w:val="1"/>
      <w:numFmt w:val="upperLetter"/>
      <w:lvlText w:val="%1."/>
      <w:lvlJc w:val="left"/>
      <w:pPr>
        <w:tabs>
          <w:tab w:val="num" w:pos="1080"/>
        </w:tabs>
        <w:ind w:left="1080" w:hanging="360"/>
      </w:pPr>
    </w:lvl>
  </w:abstractNum>
  <w:abstractNum w:abstractNumId="6" w15:restartNumberingAfterBreak="0">
    <w:nsid w:val="41CE2C4E"/>
    <w:multiLevelType w:val="singleLevel"/>
    <w:tmpl w:val="47AE2FB4"/>
    <w:lvl w:ilvl="0">
      <w:start w:val="1"/>
      <w:numFmt w:val="upperLetter"/>
      <w:lvlText w:val="%1."/>
      <w:lvlJc w:val="left"/>
      <w:pPr>
        <w:tabs>
          <w:tab w:val="num" w:pos="720"/>
        </w:tabs>
        <w:ind w:left="720" w:hanging="360"/>
      </w:pPr>
    </w:lvl>
  </w:abstractNum>
  <w:abstractNum w:abstractNumId="7" w15:restartNumberingAfterBreak="0">
    <w:nsid w:val="46587233"/>
    <w:multiLevelType w:val="singleLevel"/>
    <w:tmpl w:val="5FACC598"/>
    <w:lvl w:ilvl="0">
      <w:start w:val="1"/>
      <w:numFmt w:val="decimal"/>
      <w:pStyle w:val="Heading1"/>
      <w:lvlText w:val="%1."/>
      <w:lvlJc w:val="left"/>
      <w:pPr>
        <w:tabs>
          <w:tab w:val="num" w:pos="360"/>
        </w:tabs>
        <w:ind w:left="360" w:hanging="360"/>
      </w:pPr>
      <w:rPr>
        <w:rFonts w:hint="default"/>
        <w:b/>
        <w:strike w:val="0"/>
      </w:rPr>
    </w:lvl>
  </w:abstractNum>
  <w:abstractNum w:abstractNumId="8" w15:restartNumberingAfterBreak="0">
    <w:nsid w:val="46E3403C"/>
    <w:multiLevelType w:val="hybridMultilevel"/>
    <w:tmpl w:val="E098B270"/>
    <w:lvl w:ilvl="0" w:tplc="80105210">
      <w:numFmt w:val="bullet"/>
      <w:lvlText w:val="•"/>
      <w:lvlJc w:val="left"/>
      <w:pPr>
        <w:tabs>
          <w:tab w:val="num" w:pos="1080"/>
        </w:tabs>
        <w:ind w:left="1080" w:hanging="360"/>
      </w:pPr>
      <w:rPr>
        <w:rFonts w:hAnsi="Arial" w:hint="default"/>
        <w:sz w:val="22"/>
      </w:rPr>
    </w:lvl>
    <w:lvl w:ilvl="1" w:tplc="C22C9638">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F773FEA"/>
    <w:multiLevelType w:val="singleLevel"/>
    <w:tmpl w:val="6BE6D720"/>
    <w:lvl w:ilvl="0">
      <w:start w:val="1"/>
      <w:numFmt w:val="decimal"/>
      <w:lvlText w:val="%1)"/>
      <w:lvlJc w:val="left"/>
      <w:pPr>
        <w:tabs>
          <w:tab w:val="num" w:pos="1080"/>
        </w:tabs>
        <w:ind w:left="1080" w:hanging="360"/>
      </w:pPr>
    </w:lvl>
  </w:abstractNum>
  <w:abstractNum w:abstractNumId="10" w15:restartNumberingAfterBreak="0">
    <w:nsid w:val="50F05D11"/>
    <w:multiLevelType w:val="hybridMultilevel"/>
    <w:tmpl w:val="557ABE9C"/>
    <w:lvl w:ilvl="0" w:tplc="8EEEE21A">
      <w:start w:val="1"/>
      <w:numFmt w:val="decimal"/>
      <w:lvlText w:val="%1."/>
      <w:lvlJc w:val="left"/>
      <w:pPr>
        <w:tabs>
          <w:tab w:val="num" w:pos="360"/>
        </w:tabs>
        <w:ind w:left="360" w:hanging="360"/>
      </w:pPr>
      <w:rPr>
        <w:rFonts w:hint="default"/>
      </w:rPr>
    </w:lvl>
    <w:lvl w:ilvl="1" w:tplc="A0321258">
      <w:start w:val="1"/>
      <w:numFmt w:val="lowerLetter"/>
      <w:lvlText w:val="%2."/>
      <w:lvlJc w:val="left"/>
      <w:pPr>
        <w:tabs>
          <w:tab w:val="num" w:pos="1080"/>
        </w:tabs>
        <w:ind w:left="1080" w:hanging="360"/>
      </w:pPr>
      <w:rPr>
        <w:rFonts w:hint="default"/>
      </w:rPr>
    </w:lvl>
    <w:lvl w:ilvl="2" w:tplc="C22C9638">
      <w:start w:val="1"/>
      <w:numFmt w:val="bullet"/>
      <w:lvlText w:val=""/>
      <w:lvlJc w:val="left"/>
      <w:pPr>
        <w:tabs>
          <w:tab w:val="num" w:pos="360"/>
        </w:tabs>
        <w:ind w:left="360" w:hanging="360"/>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E332C"/>
    <w:multiLevelType w:val="hybridMultilevel"/>
    <w:tmpl w:val="D128A43A"/>
    <w:lvl w:ilvl="0" w:tplc="EF44B19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1E4D4E"/>
    <w:multiLevelType w:val="hybridMultilevel"/>
    <w:tmpl w:val="E996E11C"/>
    <w:lvl w:ilvl="0" w:tplc="6D42F5B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6968C0"/>
    <w:multiLevelType w:val="hybridMultilevel"/>
    <w:tmpl w:val="CB6C69A4"/>
    <w:lvl w:ilvl="0" w:tplc="C22C963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D1455"/>
    <w:multiLevelType w:val="singleLevel"/>
    <w:tmpl w:val="47AE2FB4"/>
    <w:lvl w:ilvl="0">
      <w:start w:val="1"/>
      <w:numFmt w:val="upperLetter"/>
      <w:lvlText w:val="%1."/>
      <w:lvlJc w:val="left"/>
      <w:pPr>
        <w:tabs>
          <w:tab w:val="num" w:pos="720"/>
        </w:tabs>
        <w:ind w:left="720" w:hanging="360"/>
      </w:pPr>
    </w:lvl>
  </w:abstractNum>
  <w:abstractNum w:abstractNumId="15" w15:restartNumberingAfterBreak="0">
    <w:nsid w:val="62581DEE"/>
    <w:multiLevelType w:val="hybridMultilevel"/>
    <w:tmpl w:val="CFFA1E82"/>
    <w:lvl w:ilvl="0" w:tplc="D1E4BED8">
      <w:start w:val="1"/>
      <w:numFmt w:val="upperLetter"/>
      <w:lvlText w:val="%1."/>
      <w:lvlJc w:val="left"/>
      <w:pPr>
        <w:tabs>
          <w:tab w:val="num" w:pos="1080"/>
        </w:tabs>
        <w:ind w:left="1080" w:hanging="360"/>
      </w:pPr>
      <w:rPr>
        <w:rFonts w:hint="default"/>
      </w:rPr>
    </w:lvl>
    <w:lvl w:ilvl="1" w:tplc="FB5EE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29B0DB8"/>
    <w:multiLevelType w:val="hybridMultilevel"/>
    <w:tmpl w:val="E5382D44"/>
    <w:lvl w:ilvl="0" w:tplc="5330D0DE">
      <w:start w:val="1"/>
      <w:numFmt w:val="lowerLetter"/>
      <w:lvlText w:val="%1."/>
      <w:lvlJc w:val="left"/>
      <w:pPr>
        <w:tabs>
          <w:tab w:val="num" w:pos="720"/>
        </w:tabs>
        <w:ind w:left="720" w:hanging="360"/>
      </w:pPr>
      <w:rPr>
        <w:rFonts w:hint="default"/>
      </w:rPr>
    </w:lvl>
    <w:lvl w:ilvl="1" w:tplc="8B3AB57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87D43B1"/>
    <w:multiLevelType w:val="hybridMultilevel"/>
    <w:tmpl w:val="4A96D61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C461127"/>
    <w:multiLevelType w:val="singleLevel"/>
    <w:tmpl w:val="36E8E130"/>
    <w:lvl w:ilvl="0">
      <w:start w:val="1"/>
      <w:numFmt w:val="decimal"/>
      <w:lvlText w:val="%1)"/>
      <w:lvlJc w:val="left"/>
      <w:pPr>
        <w:tabs>
          <w:tab w:val="num" w:pos="1080"/>
        </w:tabs>
        <w:ind w:left="1080" w:hanging="360"/>
      </w:pPr>
      <w:rPr>
        <w:rFonts w:hint="default"/>
      </w:rPr>
    </w:lvl>
  </w:abstractNum>
  <w:abstractNum w:abstractNumId="19" w15:restartNumberingAfterBreak="0">
    <w:nsid w:val="6ED9447D"/>
    <w:multiLevelType w:val="hybridMultilevel"/>
    <w:tmpl w:val="5BDA5376"/>
    <w:lvl w:ilvl="0" w:tplc="FFFFFFFF">
      <w:start w:val="1"/>
      <w:numFmt w:val="decimal"/>
      <w:lvlText w:val="%1."/>
      <w:lvlJc w:val="left"/>
      <w:pPr>
        <w:tabs>
          <w:tab w:val="num" w:pos="426"/>
        </w:tabs>
        <w:ind w:left="42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0" w15:restartNumberingAfterBreak="0">
    <w:nsid w:val="7B4D14E9"/>
    <w:multiLevelType w:val="hybridMultilevel"/>
    <w:tmpl w:val="D7EAA934"/>
    <w:lvl w:ilvl="0" w:tplc="B9DA5334">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F544CD"/>
    <w:multiLevelType w:val="hybridMultilevel"/>
    <w:tmpl w:val="3D0E9636"/>
    <w:lvl w:ilvl="0" w:tplc="080C0A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DCB30B1"/>
    <w:multiLevelType w:val="singleLevel"/>
    <w:tmpl w:val="4E0E0646"/>
    <w:lvl w:ilvl="0">
      <w:start w:val="1"/>
      <w:numFmt w:val="upperLetter"/>
      <w:lvlText w:val="%1."/>
      <w:lvlJc w:val="left"/>
      <w:pPr>
        <w:tabs>
          <w:tab w:val="num" w:pos="1080"/>
        </w:tabs>
        <w:ind w:left="1080" w:hanging="360"/>
      </w:pPr>
      <w:rPr>
        <w:rFonts w:hint="default"/>
      </w:rPr>
    </w:lvl>
  </w:abstractNum>
  <w:abstractNum w:abstractNumId="23" w15:restartNumberingAfterBreak="0">
    <w:nsid w:val="7E630279"/>
    <w:multiLevelType w:val="hybridMultilevel"/>
    <w:tmpl w:val="3708BDB0"/>
    <w:lvl w:ilvl="0" w:tplc="7FA082DA">
      <w:start w:val="9"/>
      <w:numFmt w:val="decimal"/>
      <w:lvlText w:val="%1."/>
      <w:lvlJc w:val="left"/>
      <w:pPr>
        <w:tabs>
          <w:tab w:val="num" w:pos="360"/>
        </w:tabs>
        <w:ind w:left="36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1"/>
  </w:num>
  <w:num w:numId="4">
    <w:abstractNumId w:val="4"/>
  </w:num>
  <w:num w:numId="5">
    <w:abstractNumId w:val="13"/>
  </w:num>
  <w:num w:numId="6">
    <w:abstractNumId w:val="7"/>
  </w:num>
  <w:num w:numId="7">
    <w:abstractNumId w:val="0"/>
  </w:num>
  <w:num w:numId="8">
    <w:abstractNumId w:val="2"/>
  </w:num>
  <w:num w:numId="9">
    <w:abstractNumId w:val="18"/>
  </w:num>
  <w:num w:numId="10">
    <w:abstractNumId w:val="3"/>
  </w:num>
  <w:num w:numId="11">
    <w:abstractNumId w:val="17"/>
  </w:num>
  <w:num w:numId="12">
    <w:abstractNumId w:val="14"/>
  </w:num>
  <w:num w:numId="13">
    <w:abstractNumId w:val="6"/>
  </w:num>
  <w:num w:numId="14">
    <w:abstractNumId w:val="9"/>
  </w:num>
  <w:num w:numId="15">
    <w:abstractNumId w:val="5"/>
  </w:num>
  <w:num w:numId="16">
    <w:abstractNumId w:val="8"/>
  </w:num>
  <w:num w:numId="17">
    <w:abstractNumId w:val="21"/>
  </w:num>
  <w:num w:numId="18">
    <w:abstractNumId w:val="23"/>
  </w:num>
  <w:num w:numId="19">
    <w:abstractNumId w:val="11"/>
  </w:num>
  <w:num w:numId="20">
    <w:abstractNumId w:val="22"/>
  </w:num>
  <w:num w:numId="21">
    <w:abstractNumId w:val="20"/>
  </w:num>
  <w:num w:numId="22">
    <w:abstractNumId w:val="15"/>
  </w:num>
  <w:num w:numId="23">
    <w:abstractNumId w:val="12"/>
  </w:num>
  <w:num w:numId="24">
    <w:abstractNumId w:val="19"/>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8F"/>
    <w:rsid w:val="00027A82"/>
    <w:rsid w:val="00032A5F"/>
    <w:rsid w:val="0003695C"/>
    <w:rsid w:val="000A377A"/>
    <w:rsid w:val="000A6EB2"/>
    <w:rsid w:val="001272DF"/>
    <w:rsid w:val="00274546"/>
    <w:rsid w:val="002A3A6F"/>
    <w:rsid w:val="002C40E4"/>
    <w:rsid w:val="003127AA"/>
    <w:rsid w:val="00382E8C"/>
    <w:rsid w:val="00390FD1"/>
    <w:rsid w:val="003A18FC"/>
    <w:rsid w:val="003E5197"/>
    <w:rsid w:val="003F5419"/>
    <w:rsid w:val="00401741"/>
    <w:rsid w:val="004831A3"/>
    <w:rsid w:val="004906AF"/>
    <w:rsid w:val="004F6E8C"/>
    <w:rsid w:val="0051228B"/>
    <w:rsid w:val="005432A6"/>
    <w:rsid w:val="005672CA"/>
    <w:rsid w:val="005A0D18"/>
    <w:rsid w:val="005C7F8B"/>
    <w:rsid w:val="005E22B6"/>
    <w:rsid w:val="005E31A5"/>
    <w:rsid w:val="00605F8F"/>
    <w:rsid w:val="006072D1"/>
    <w:rsid w:val="0064059F"/>
    <w:rsid w:val="00681DCD"/>
    <w:rsid w:val="006B45FA"/>
    <w:rsid w:val="006C4FF8"/>
    <w:rsid w:val="006D69D2"/>
    <w:rsid w:val="007A3CF1"/>
    <w:rsid w:val="007F481C"/>
    <w:rsid w:val="0086162D"/>
    <w:rsid w:val="00891371"/>
    <w:rsid w:val="00923061"/>
    <w:rsid w:val="00953033"/>
    <w:rsid w:val="00984256"/>
    <w:rsid w:val="00A16035"/>
    <w:rsid w:val="00A16E7B"/>
    <w:rsid w:val="00A414E0"/>
    <w:rsid w:val="00B30504"/>
    <w:rsid w:val="00B30F2B"/>
    <w:rsid w:val="00B50C62"/>
    <w:rsid w:val="00B85EDA"/>
    <w:rsid w:val="00C013AB"/>
    <w:rsid w:val="00C020A2"/>
    <w:rsid w:val="00C27DF1"/>
    <w:rsid w:val="00C30F90"/>
    <w:rsid w:val="00C60305"/>
    <w:rsid w:val="00CA1188"/>
    <w:rsid w:val="00CB2330"/>
    <w:rsid w:val="00CF4B67"/>
    <w:rsid w:val="00D351CA"/>
    <w:rsid w:val="00D5631E"/>
    <w:rsid w:val="00D577E2"/>
    <w:rsid w:val="00D745E8"/>
    <w:rsid w:val="00DB22E9"/>
    <w:rsid w:val="00E22DD7"/>
    <w:rsid w:val="00F0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DF2C"/>
  <w15:chartTrackingRefBased/>
  <w15:docId w15:val="{E423E5CA-D122-4AF4-809B-EB6A7B09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F1"/>
    <w:pPr>
      <w:spacing w:after="240"/>
    </w:pPr>
    <w:rPr>
      <w:rFonts w:ascii="Arial" w:hAnsi="Arial"/>
      <w:sz w:val="22"/>
    </w:rPr>
  </w:style>
  <w:style w:type="paragraph" w:styleId="Heading1">
    <w:name w:val="heading 1"/>
    <w:basedOn w:val="Normal"/>
    <w:next w:val="Normal"/>
    <w:qFormat/>
    <w:rsid w:val="00A414E0"/>
    <w:pPr>
      <w:keepNext/>
      <w:keepLines/>
      <w:numPr>
        <w:numId w:val="6"/>
      </w:numPr>
      <w:tabs>
        <w:tab w:val="clear" w:pos="360"/>
        <w:tab w:val="num" w:pos="720"/>
      </w:tabs>
      <w:ind w:left="720" w:hanging="720"/>
      <w:outlineLvl w:val="0"/>
    </w:pPr>
    <w:rPr>
      <w:rFonts w:cs="Arial"/>
      <w:b/>
      <w:color w:val="00000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720"/>
      <w:outlineLvl w:val="2"/>
    </w:pPr>
    <w:rPr>
      <w:rFonts w:cs="Arial"/>
      <w:b/>
      <w:bCs/>
      <w:color w:val="000000"/>
    </w:rPr>
  </w:style>
  <w:style w:type="paragraph" w:styleId="Heading4">
    <w:name w:val="heading 4"/>
    <w:basedOn w:val="Normal"/>
    <w:next w:val="Normal"/>
    <w:qFormat/>
    <w:pPr>
      <w:keepNext/>
      <w:ind w:left="720"/>
      <w:jc w:val="center"/>
      <w:outlineLvl w:val="3"/>
    </w:pPr>
    <w:rPr>
      <w:b/>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keepNext/>
      <w:ind w:left="720"/>
      <w:outlineLvl w:val="5"/>
    </w:pPr>
    <w:rPr>
      <w:rFonts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widowControl w:val="0"/>
      <w:tabs>
        <w:tab w:val="left" w:pos="720"/>
        <w:tab w:val="right" w:leader="dot" w:pos="10080"/>
      </w:tabs>
      <w:spacing w:after="120"/>
      <w:outlineLvl w:val="0"/>
    </w:pPr>
    <w:rPr>
      <w:b/>
      <w:noProof/>
      <w:szCs w:val="28"/>
    </w:rPr>
  </w:style>
  <w:style w:type="character" w:styleId="CommentReference">
    <w:name w:val="annotation reference"/>
    <w:semiHidden/>
    <w:rPr>
      <w:b/>
      <w:sz w:val="22"/>
      <w:szCs w:val="16"/>
      <w:bdr w:val="none" w:sz="0" w:space="0" w:color="auto"/>
      <w:shd w:val="clear" w:color="auto" w:fill="FFFF99"/>
    </w:rPr>
  </w:style>
  <w:style w:type="paragraph" w:styleId="CommentText">
    <w:name w:val="annotation text"/>
    <w:basedOn w:val="Normal"/>
    <w:semiHidden/>
    <w:pPr>
      <w:spacing w:after="120"/>
    </w:pPr>
  </w:style>
  <w:style w:type="paragraph" w:styleId="NormalWeb">
    <w:name w:val="Normal (Web)"/>
    <w:basedOn w:val="Normal"/>
    <w:pPr>
      <w:spacing w:before="100" w:beforeAutospacing="1" w:after="100" w:afterAutospacing="1"/>
    </w:pPr>
    <w:rPr>
      <w:szCs w:val="24"/>
    </w:rPr>
  </w:style>
  <w:style w:type="character" w:styleId="Hyperlink">
    <w:name w:val="Hyperlink"/>
    <w:rPr>
      <w:rFonts w:ascii="Arial" w:hAnsi="Arial"/>
      <w:color w:val="0000FF"/>
      <w:sz w:val="22"/>
      <w:u w:val="single"/>
    </w:rPr>
  </w:style>
  <w:style w:type="character" w:styleId="PageNumber">
    <w:name w:val="page number"/>
    <w:rPr>
      <w:rFonts w:ascii="Arial" w:hAnsi="Arial"/>
      <w:sz w:val="22"/>
    </w:rPr>
  </w:style>
  <w:style w:type="paragraph" w:styleId="TOC2">
    <w:name w:val="toc 2"/>
    <w:basedOn w:val="Normal"/>
    <w:next w:val="Normal"/>
    <w:semiHidden/>
    <w:pPr>
      <w:tabs>
        <w:tab w:val="right" w:leader="dot" w:pos="10080"/>
      </w:tabs>
      <w:spacing w:after="120"/>
      <w:ind w:left="720"/>
      <w:outlineLvl w:val="1"/>
    </w:pPr>
    <w:rPr>
      <w:noProof/>
    </w:rPr>
  </w:style>
  <w:style w:type="paragraph" w:styleId="TOC3">
    <w:name w:val="toc 3"/>
    <w:next w:val="Normal"/>
    <w:autoRedefine/>
    <w:semiHidden/>
    <w:pPr>
      <w:widowControl w:val="0"/>
      <w:tabs>
        <w:tab w:val="left" w:pos="1440"/>
        <w:tab w:val="right" w:leader="dot" w:pos="10080"/>
      </w:tabs>
      <w:spacing w:after="120"/>
      <w:ind w:left="1080"/>
    </w:pPr>
    <w:rPr>
      <w:rFonts w:ascii="Arial" w:hAnsi="Arial"/>
      <w:noProof/>
      <w:sz w:val="22"/>
      <w:szCs w:val="22"/>
    </w:rPr>
  </w:style>
  <w:style w:type="paragraph" w:styleId="TOC4">
    <w:name w:val="toc 4"/>
    <w:basedOn w:val="Normal"/>
    <w:next w:val="Normal"/>
    <w:autoRedefine/>
    <w:semiHidden/>
    <w:pPr>
      <w:widowControl w:val="0"/>
      <w:tabs>
        <w:tab w:val="left" w:pos="1800"/>
        <w:tab w:val="right" w:leader="dot" w:pos="10080"/>
      </w:tabs>
      <w:spacing w:after="120"/>
      <w:ind w:left="1440"/>
    </w:pPr>
  </w:style>
  <w:style w:type="paragraph" w:styleId="Header">
    <w:name w:val="header"/>
    <w:basedOn w:val="Normal"/>
    <w:pPr>
      <w:widowControl w:val="0"/>
      <w:tabs>
        <w:tab w:val="center" w:pos="4320"/>
        <w:tab w:val="right" w:pos="8640"/>
      </w:tabs>
    </w:pPr>
  </w:style>
  <w:style w:type="paragraph" w:customStyle="1" w:styleId="a">
    <w:name w:val="a"/>
    <w:aliases w:val="b,c"/>
    <w:basedOn w:val="Normal"/>
    <w:pPr>
      <w:widowControl w:val="0"/>
      <w:tabs>
        <w:tab w:val="left" w:pos="36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 w:val="left" w:pos="6500"/>
        <w:tab w:val="left" w:pos="6861"/>
        <w:tab w:val="left" w:pos="7222"/>
        <w:tab w:val="left" w:pos="7584"/>
        <w:tab w:val="left" w:pos="7945"/>
        <w:tab w:val="left" w:pos="8306"/>
        <w:tab w:val="left" w:pos="8667"/>
        <w:tab w:val="left" w:pos="9028"/>
        <w:tab w:val="left" w:pos="9390"/>
        <w:tab w:val="left" w:pos="9751"/>
      </w:tabs>
      <w:ind w:left="360" w:firstLine="360"/>
    </w:pPr>
  </w:style>
  <w:style w:type="paragraph" w:customStyle="1" w:styleId="1">
    <w:name w:val="1"/>
    <w:aliases w:val="2,3"/>
    <w:basedOn w:val="Normal"/>
    <w:pPr>
      <w:widowControl w:val="0"/>
      <w:tabs>
        <w:tab w:val="left" w:pos="-1440"/>
        <w:tab w:val="left" w:pos="-720"/>
        <w:tab w:val="left" w:pos="0"/>
        <w:tab w:val="left" w:pos="36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pPr>
  </w:style>
  <w:style w:type="character" w:styleId="FollowedHyperlink">
    <w:name w:val="FollowedHyperlink"/>
    <w:rPr>
      <w:color w:val="800080"/>
      <w:u w:val="single"/>
    </w:rPr>
  </w:style>
  <w:style w:type="paragraph" w:styleId="Title">
    <w:name w:val="Title"/>
    <w:basedOn w:val="Normal"/>
    <w:qFormat/>
    <w:pPr>
      <w:jc w:val="center"/>
    </w:pPr>
    <w:rPr>
      <w:b/>
      <w:bCs/>
    </w:rPr>
  </w:style>
  <w:style w:type="paragraph" w:styleId="BodyTextIndent">
    <w:name w:val="Body Text Indent"/>
    <w:basedOn w:val="Normal"/>
    <w:pPr>
      <w:ind w:left="360"/>
    </w:pPr>
    <w:rPr>
      <w:bCs/>
    </w:rPr>
  </w:style>
  <w:style w:type="paragraph" w:styleId="BodyTextIndent2">
    <w:name w:val="Body Text Indent 2"/>
    <w:basedOn w:val="Normal"/>
    <w:pPr>
      <w:ind w:left="720"/>
    </w:pPr>
    <w:rPr>
      <w:rFonts w:cs="Arial"/>
      <w:color w:val="0000FF"/>
    </w:rPr>
  </w:style>
  <w:style w:type="paragraph" w:styleId="Footer">
    <w:name w:val="footer"/>
    <w:basedOn w:val="Normal"/>
    <w:pPr>
      <w:tabs>
        <w:tab w:val="center" w:pos="4320"/>
        <w:tab w:val="right" w:pos="8640"/>
      </w:tabs>
    </w:pPr>
  </w:style>
  <w:style w:type="paragraph" w:customStyle="1" w:styleId="Blockquote">
    <w:name w:val="Blockquote"/>
    <w:basedOn w:val="Normal"/>
    <w:pPr>
      <w:spacing w:before="100" w:after="100"/>
      <w:ind w:left="360" w:right="360"/>
    </w:pPr>
    <w:rPr>
      <w:rFonts w:ascii="Times New Roman" w:hAnsi="Times New Roman"/>
      <w:snapToGrid w:val="0"/>
      <w:sz w:val="24"/>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link w:val="BalloonTextChar"/>
    <w:rsid w:val="00D351CA"/>
    <w:rPr>
      <w:rFonts w:ascii="Tahoma" w:hAnsi="Tahoma" w:cs="Tahoma"/>
      <w:sz w:val="16"/>
      <w:szCs w:val="16"/>
    </w:rPr>
  </w:style>
  <w:style w:type="character" w:customStyle="1" w:styleId="BalloonTextChar">
    <w:name w:val="Balloon Text Char"/>
    <w:link w:val="BalloonText"/>
    <w:rsid w:val="00D351CA"/>
    <w:rPr>
      <w:rFonts w:ascii="Tahoma" w:hAnsi="Tahoma" w:cs="Tahoma"/>
      <w:sz w:val="16"/>
      <w:szCs w:val="16"/>
    </w:rPr>
  </w:style>
  <w:style w:type="paragraph" w:styleId="ListParagraph">
    <w:name w:val="List Paragraph"/>
    <w:basedOn w:val="Normal"/>
    <w:uiPriority w:val="34"/>
    <w:qFormat/>
    <w:rsid w:val="003A18FC"/>
    <w:pPr>
      <w:ind w:left="720"/>
    </w:pPr>
  </w:style>
  <w:style w:type="paragraph" w:styleId="BodyTextIndent3">
    <w:name w:val="Body Text Indent 3"/>
    <w:basedOn w:val="Normal"/>
    <w:link w:val="BodyTextIndent3Char"/>
    <w:rsid w:val="0064059F"/>
    <w:pPr>
      <w:spacing w:after="120"/>
      <w:ind w:left="360"/>
    </w:pPr>
    <w:rPr>
      <w:sz w:val="16"/>
      <w:szCs w:val="16"/>
    </w:rPr>
  </w:style>
  <w:style w:type="character" w:customStyle="1" w:styleId="BodyTextIndent3Char">
    <w:name w:val="Body Text Indent 3 Char"/>
    <w:link w:val="BodyTextIndent3"/>
    <w:rsid w:val="0064059F"/>
    <w:rPr>
      <w:rFonts w:ascii="Arial" w:hAnsi="Arial"/>
      <w:sz w:val="16"/>
      <w:szCs w:val="16"/>
    </w:rPr>
  </w:style>
  <w:style w:type="paragraph" w:styleId="BodyText">
    <w:name w:val="Body Text"/>
    <w:basedOn w:val="Normal"/>
    <w:link w:val="BodyTextChar"/>
    <w:rsid w:val="00032A5F"/>
    <w:pPr>
      <w:spacing w:after="120"/>
    </w:pPr>
  </w:style>
  <w:style w:type="character" w:customStyle="1" w:styleId="BodyTextChar">
    <w:name w:val="Body Text Char"/>
    <w:link w:val="BodyText"/>
    <w:rsid w:val="00032A5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alhr.ca.gov/employees/Pages/travel-reimbursement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C76A3741AE4D4CB9A2DF18DC099D49" ma:contentTypeVersion="2" ma:contentTypeDescription="Create a new document." ma:contentTypeScope="" ma:versionID="5b7918ef73949aa8d0f05358a08df66f">
  <xsd:schema xmlns:xsd="http://www.w3.org/2001/XMLSchema" xmlns:xs="http://www.w3.org/2001/XMLSchema" xmlns:p="http://schemas.microsoft.com/office/2006/metadata/properties" xmlns:ns1="http://schemas.microsoft.com/sharepoint/v3" targetNamespace="http://schemas.microsoft.com/office/2006/metadata/properties" ma:root="true" ma:fieldsID="8e4b0e8923defe20063f6f9395a1f49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200D-D2C2-4B60-B445-581F8E7C1C6A}"/>
</file>

<file path=customXml/itemProps2.xml><?xml version="1.0" encoding="utf-8"?>
<ds:datastoreItem xmlns:ds="http://schemas.openxmlformats.org/officeDocument/2006/customXml" ds:itemID="{6D1CEF22-F189-45CA-B424-A4833EFF00B9}"/>
</file>

<file path=customXml/itemProps3.xml><?xml version="1.0" encoding="utf-8"?>
<ds:datastoreItem xmlns:ds="http://schemas.openxmlformats.org/officeDocument/2006/customXml" ds:itemID="{482FE6BF-A755-42BD-AF58-601E6E465FD5}"/>
</file>

<file path=customXml/itemProps4.xml><?xml version="1.0" encoding="utf-8"?>
<ds:datastoreItem xmlns:ds="http://schemas.openxmlformats.org/officeDocument/2006/customXml" ds:itemID="{00F38DA9-8888-4B20-8B5D-2CE0C0BA80B7}"/>
</file>

<file path=customXml/itemProps5.xml><?xml version="1.0" encoding="utf-8"?>
<ds:datastoreItem xmlns:ds="http://schemas.openxmlformats.org/officeDocument/2006/customXml" ds:itemID="{841BB297-2F1C-4596-9212-663B8C5F4CAE}"/>
</file>

<file path=docProps/app.xml><?xml version="1.0" encoding="utf-8"?>
<Properties xmlns="http://schemas.openxmlformats.org/officeDocument/2006/extended-properties" xmlns:vt="http://schemas.openxmlformats.org/officeDocument/2006/docPropsVTypes">
  <Template>E6A5D879.dotm</Template>
  <TotalTime>0</TotalTime>
  <Pages>3</Pages>
  <Words>1221</Words>
  <Characters>6616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Exhibit B - Budget Detail and Payment Provisions for Cooperative Agreements</vt:lpstr>
    </vt:vector>
  </TitlesOfParts>
  <Company>DHCS and CDPH</Company>
  <LinksUpToDate>false</LinksUpToDate>
  <CharactersWithSpaces>7822</CharactersWithSpaces>
  <SharedDoc>false</SharedDoc>
  <HLinks>
    <vt:vector size="66" baseType="variant">
      <vt:variant>
        <vt:i4>7340093</vt:i4>
      </vt:variant>
      <vt:variant>
        <vt:i4>30</vt:i4>
      </vt:variant>
      <vt:variant>
        <vt:i4>0</vt:i4>
      </vt:variant>
      <vt:variant>
        <vt:i4>5</vt:i4>
      </vt:variant>
      <vt:variant>
        <vt:lpwstr>http://www.calhr.ca.gov/employees/Pages/travel-reimbursements.aspx</vt:lpwstr>
      </vt:variant>
      <vt:variant>
        <vt:lpwstr/>
      </vt:variant>
      <vt:variant>
        <vt:i4>3407918</vt:i4>
      </vt:variant>
      <vt:variant>
        <vt:i4>27</vt:i4>
      </vt:variant>
      <vt:variant>
        <vt:i4>0</vt:i4>
      </vt:variant>
      <vt:variant>
        <vt:i4>5</vt:i4>
      </vt:variant>
      <vt:variant>
        <vt:lpwstr/>
      </vt:variant>
      <vt:variant>
        <vt:lpwstr>Prov10</vt:lpwstr>
      </vt:variant>
      <vt:variant>
        <vt:i4>262145</vt:i4>
      </vt:variant>
      <vt:variant>
        <vt:i4>24</vt:i4>
      </vt:variant>
      <vt:variant>
        <vt:i4>0</vt:i4>
      </vt:variant>
      <vt:variant>
        <vt:i4>5</vt:i4>
      </vt:variant>
      <vt:variant>
        <vt:lpwstr/>
      </vt:variant>
      <vt:variant>
        <vt:lpwstr>FBGF</vt:lpwstr>
      </vt:variant>
      <vt:variant>
        <vt:i4>262175</vt:i4>
      </vt:variant>
      <vt:variant>
        <vt:i4>21</vt:i4>
      </vt:variant>
      <vt:variant>
        <vt:i4>0</vt:i4>
      </vt:variant>
      <vt:variant>
        <vt:i4>5</vt:i4>
      </vt:variant>
      <vt:variant>
        <vt:lpwstr/>
      </vt:variant>
      <vt:variant>
        <vt:lpwstr>Prov9</vt:lpwstr>
      </vt:variant>
      <vt:variant>
        <vt:i4>262175</vt:i4>
      </vt:variant>
      <vt:variant>
        <vt:i4>18</vt:i4>
      </vt:variant>
      <vt:variant>
        <vt:i4>0</vt:i4>
      </vt:variant>
      <vt:variant>
        <vt:i4>5</vt:i4>
      </vt:variant>
      <vt:variant>
        <vt:lpwstr/>
      </vt:variant>
      <vt:variant>
        <vt:lpwstr>Prov8</vt:lpwstr>
      </vt:variant>
      <vt:variant>
        <vt:i4>6291571</vt:i4>
      </vt:variant>
      <vt:variant>
        <vt:i4>15</vt:i4>
      </vt:variant>
      <vt:variant>
        <vt:i4>0</vt:i4>
      </vt:variant>
      <vt:variant>
        <vt:i4>5</vt:i4>
      </vt:variant>
      <vt:variant>
        <vt:lpwstr/>
      </vt:variant>
      <vt:variant>
        <vt:lpwstr>AllowableShifts</vt:lpwstr>
      </vt:variant>
      <vt:variant>
        <vt:i4>1638417</vt:i4>
      </vt:variant>
      <vt:variant>
        <vt:i4>12</vt:i4>
      </vt:variant>
      <vt:variant>
        <vt:i4>0</vt:i4>
      </vt:variant>
      <vt:variant>
        <vt:i4>5</vt:i4>
      </vt:variant>
      <vt:variant>
        <vt:lpwstr/>
      </vt:variant>
      <vt:variant>
        <vt:lpwstr>TimelySubmission</vt:lpwstr>
      </vt:variant>
      <vt:variant>
        <vt:i4>1441806</vt:i4>
      </vt:variant>
      <vt:variant>
        <vt:i4>9</vt:i4>
      </vt:variant>
      <vt:variant>
        <vt:i4>0</vt:i4>
      </vt:variant>
      <vt:variant>
        <vt:i4>5</vt:i4>
      </vt:variant>
      <vt:variant>
        <vt:lpwstr/>
      </vt:variant>
      <vt:variant>
        <vt:lpwstr>PrompPay</vt:lpwstr>
      </vt:variant>
      <vt:variant>
        <vt:i4>1376270</vt:i4>
      </vt:variant>
      <vt:variant>
        <vt:i4>6</vt:i4>
      </vt:variant>
      <vt:variant>
        <vt:i4>0</vt:i4>
      </vt:variant>
      <vt:variant>
        <vt:i4>5</vt:i4>
      </vt:variant>
      <vt:variant>
        <vt:lpwstr/>
      </vt:variant>
      <vt:variant>
        <vt:lpwstr>BudgetContingency</vt:lpwstr>
      </vt:variant>
      <vt:variant>
        <vt:i4>786463</vt:i4>
      </vt:variant>
      <vt:variant>
        <vt:i4>3</vt:i4>
      </vt:variant>
      <vt:variant>
        <vt:i4>0</vt:i4>
      </vt:variant>
      <vt:variant>
        <vt:i4>5</vt:i4>
      </vt:variant>
      <vt:variant>
        <vt:lpwstr/>
      </vt:variant>
      <vt:variant>
        <vt:lpwstr>Invoicing</vt:lpwstr>
      </vt:variant>
      <vt:variant>
        <vt:i4>7209087</vt:i4>
      </vt:variant>
      <vt:variant>
        <vt:i4>0</vt:i4>
      </vt:variant>
      <vt:variant>
        <vt:i4>0</vt:i4>
      </vt:variant>
      <vt:variant>
        <vt:i4>5</vt:i4>
      </vt:variant>
      <vt:variant>
        <vt:lpwstr/>
      </vt:variant>
      <vt:variant>
        <vt:lpwstr>ExhBSample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Exhibit B - Budget Detail and Payment Provisions for Cooperative Agreements</dc:title>
  <dc:subject/>
  <dc:creator>CDPH-PSB-CPSS-CMU</dc:creator>
  <cp:keywords/>
  <cp:lastModifiedBy>Lee, Stefanie (CDPH-CFH-MCAH-ABSS)</cp:lastModifiedBy>
  <cp:revision>2</cp:revision>
  <cp:lastPrinted>2017-11-13T23:33:00Z</cp:lastPrinted>
  <dcterms:created xsi:type="dcterms:W3CDTF">2017-11-14T20:14:00Z</dcterms:created>
  <dcterms:modified xsi:type="dcterms:W3CDTF">2017-11-14T20:14:00Z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Williams, Abigail (CDPH-PSB)</vt:lpwstr>
  </property>
  <property fmtid="{D5CDD505-2E9C-101B-9397-08002B2CF9AE}" pid="4" name="Order">
    <vt:lpwstr>322700.000000000</vt:lpwstr>
  </property>
  <property fmtid="{D5CDD505-2E9C-101B-9397-08002B2CF9AE}" pid="5" name="display_urn:schemas-microsoft-com:office:office#Author">
    <vt:lpwstr>Williams, Abigail (CDPH-PSB)</vt:lpwstr>
  </property>
  <property fmtid="{D5CDD505-2E9C-101B-9397-08002B2CF9AE}" pid="6" name="ContentTypeId">
    <vt:lpwstr>0x0101005EC76A3741AE4D4CB9A2DF18DC099D49</vt:lpwstr>
  </property>
  <property fmtid="{D5CDD505-2E9C-101B-9397-08002B2CF9AE}" pid="7" name="e703b7d8b6284097bcc8d89d108ab72a">
    <vt:lpwstr>English|25e340a5-d50c-48d7-adc0-a905fb7bff5c</vt:lpwstr>
  </property>
  <property fmtid="{D5CDD505-2E9C-101B-9397-08002B2CF9AE}" pid="8" name="TaxCatchAll">
    <vt:lpwstr>318;#Adolescent Health|7f7bcacd-74fb-433c-b8a9-bcdfd9b96da4;#197;# Local Health Jurisdiction|f68e075a-b17d-44d0-8f5c-4e108c72d912;#127;#Maternal, Child, and Adolescent Health|9f0ed868-60d0-412a-904d-9f1a17133701;#193;# Non-Profit Organization|b8cff195-25c4-4b19-9ac6-ae25c51a2bc6;#192;#Local Agency|a83f7ca9-5f36-4e0a-8547-5f9ce4325ad6;#191;# Community Based Organization|36af281b-a546-4033-90fb-79469fe234da;#190;# Local Government|1cd0782c-1d77-4248-a4cc-dba29f07cf73;#97;#English|25e340a5-d50c-48d7-adc0-a905fb7bff5c</vt:lpwstr>
  </property>
  <property fmtid="{D5CDD505-2E9C-101B-9397-08002B2CF9AE}" pid="9" name="kcdf3820fa7642e8be4bb4902ce9671f">
    <vt:lpwstr>Adolescent Health|7f7bcacd-74fb-433c-b8a9-bcdfd9b96da4</vt:lpwstr>
  </property>
  <property fmtid="{D5CDD505-2E9C-101B-9397-08002B2CF9AE}" pid="10" name="bb1a85d7c91c4659b60f056ef7672151">
    <vt:lpwstr>Maternal, Child, and Adolescent Health|9f0ed868-60d0-412a-904d-9f1a17133701</vt:lpwstr>
  </property>
  <property fmtid="{D5CDD505-2E9C-101B-9397-08002B2CF9AE}" pid="11" name="Content Language">
    <vt:lpwstr>97;#English|25e340a5-d50c-48d7-adc0-a905fb7bff5c</vt:lpwstr>
  </property>
  <property fmtid="{D5CDD505-2E9C-101B-9397-08002B2CF9AE}" pid="12" name="Topic">
    <vt:lpwstr>318;#Adolescent Health|7f7bcacd-74fb-433c-b8a9-bcdfd9b96da4</vt:lpwstr>
  </property>
  <property fmtid="{D5CDD505-2E9C-101B-9397-08002B2CF9AE}" pid="13" name="CDPH Audience">
    <vt:lpwstr>192;#Local Agency|a83f7ca9-5f36-4e0a-8547-5f9ce4325ad6;#190;# Local Government|1cd0782c-1d77-4248-a4cc-dba29f07cf73;#197;# Local Health Jurisdiction|f68e075a-b17d-44d0-8f5c-4e108c72d912;#193;# Non-Profit Organization|b8cff195-25c4-4b19-9ac6-ae25c51a2bc6;#191;# Community Based Organization|36af281b-a546-4033-90fb-79469fe234da</vt:lpwstr>
  </property>
  <property fmtid="{D5CDD505-2E9C-101B-9397-08002B2CF9AE}" pid="14" name="off2d280d04f435e8ad65f64297220d7">
    <vt:lpwstr>Local Agency|a83f7ca9-5f36-4e0a-8547-5f9ce4325ad6; Local Government|1cd0782c-1d77-4248-a4cc-dba29f07cf73; Local Health Jurisdiction|f68e075a-b17d-44d0-8f5c-4e108c72d912; Non-Profit Organization|b8cff195-25c4-4b19-9ac6-ae25c51a2bc6; Community Based Organization|36af281b-a546-4033-90fb-79469fe234da</vt:lpwstr>
  </property>
  <property fmtid="{D5CDD505-2E9C-101B-9397-08002B2CF9AE}" pid="15" name="Program">
    <vt:lpwstr>127;#Maternal, Child, and Adolescent Health|9f0ed868-60d0-412a-904d-9f1a17133701</vt:lpwstr>
  </property>
</Properties>
</file>