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43" w:rsidRDefault="00880043" w:rsidP="00FE11EA">
      <w:pPr>
        <w:spacing w:before="100" w:beforeAutospacing="1" w:after="100" w:afterAutospacing="1" w:line="240" w:lineRule="auto"/>
        <w:rPr>
          <w:rFonts w:eastAsia="Times New Roman" w:cstheme="minorHAnsi"/>
          <w:b/>
          <w:color w:val="000000"/>
          <w:sz w:val="24"/>
          <w:szCs w:val="24"/>
        </w:rPr>
      </w:pPr>
    </w:p>
    <w:p w:rsidR="00AC7037" w:rsidRDefault="00AC7037" w:rsidP="00626DDA">
      <w:pPr>
        <w:spacing w:before="100" w:beforeAutospacing="1" w:after="100" w:afterAutospacing="1" w:line="240" w:lineRule="auto"/>
        <w:rPr>
          <w:rFonts w:eastAsia="Times New Roman" w:cstheme="minorHAnsi"/>
          <w:b/>
          <w:color w:val="000000"/>
          <w:sz w:val="24"/>
          <w:szCs w:val="24"/>
        </w:rPr>
      </w:pPr>
    </w:p>
    <w:p w:rsidR="00AC7037" w:rsidRDefault="00AC7037" w:rsidP="00FE11EA">
      <w:pPr>
        <w:spacing w:before="100" w:beforeAutospacing="1" w:after="100" w:afterAutospacing="1" w:line="240" w:lineRule="auto"/>
        <w:rPr>
          <w:rFonts w:eastAsia="Times New Roman" w:cstheme="minorHAnsi"/>
          <w:b/>
          <w:color w:val="000000"/>
          <w:sz w:val="24"/>
          <w:szCs w:val="24"/>
        </w:rPr>
      </w:pPr>
    </w:p>
    <w:p w:rsidR="00AC7037" w:rsidRDefault="00AC7037" w:rsidP="00FE11EA">
      <w:pPr>
        <w:spacing w:before="100" w:beforeAutospacing="1" w:after="100" w:afterAutospacing="1" w:line="240" w:lineRule="auto"/>
        <w:rPr>
          <w:rFonts w:eastAsia="Times New Roman" w:cstheme="minorHAnsi"/>
          <w:b/>
          <w:color w:val="000000"/>
          <w:sz w:val="24"/>
          <w:szCs w:val="24"/>
        </w:rPr>
      </w:pPr>
    </w:p>
    <w:p w:rsidR="00AC7037" w:rsidRPr="00AC7037" w:rsidRDefault="00AC7037" w:rsidP="00AC7037">
      <w:pPr>
        <w:spacing w:before="100" w:beforeAutospacing="1" w:after="100" w:afterAutospacing="1" w:line="240" w:lineRule="auto"/>
        <w:jc w:val="center"/>
        <w:rPr>
          <w:rFonts w:eastAsia="Times New Roman" w:cstheme="minorHAnsi"/>
          <w:b/>
          <w:color w:val="000000"/>
          <w:sz w:val="40"/>
          <w:szCs w:val="40"/>
        </w:rPr>
      </w:pPr>
      <w:r w:rsidRPr="00AC7037">
        <w:rPr>
          <w:rFonts w:eastAsia="Times New Roman" w:cstheme="minorHAnsi"/>
          <w:b/>
          <w:color w:val="000000"/>
          <w:sz w:val="40"/>
          <w:szCs w:val="40"/>
        </w:rPr>
        <w:t>The California Parkinson’s Disease Registry</w:t>
      </w:r>
    </w:p>
    <w:p w:rsidR="00AC7037" w:rsidRDefault="00AC7037" w:rsidP="00AC7037">
      <w:pPr>
        <w:spacing w:before="100" w:beforeAutospacing="1" w:after="100" w:afterAutospacing="1" w:line="240" w:lineRule="auto"/>
        <w:jc w:val="center"/>
        <w:rPr>
          <w:rFonts w:eastAsia="Times New Roman" w:cstheme="minorHAnsi"/>
          <w:b/>
          <w:color w:val="000000"/>
          <w:sz w:val="40"/>
          <w:szCs w:val="40"/>
        </w:rPr>
      </w:pPr>
      <w:r w:rsidRPr="00AC7037">
        <w:rPr>
          <w:rFonts w:eastAsia="Times New Roman" w:cstheme="minorHAnsi"/>
          <w:b/>
          <w:color w:val="000000"/>
          <w:sz w:val="40"/>
          <w:szCs w:val="40"/>
        </w:rPr>
        <w:t>Implementation Guide</w:t>
      </w:r>
    </w:p>
    <w:p w:rsidR="00AC7037" w:rsidRDefault="00AC7037" w:rsidP="00AC7037">
      <w:pPr>
        <w:spacing w:before="100" w:beforeAutospacing="1" w:after="100" w:afterAutospacing="1" w:line="240" w:lineRule="auto"/>
        <w:jc w:val="center"/>
        <w:rPr>
          <w:rFonts w:eastAsia="Times New Roman" w:cstheme="minorHAnsi"/>
          <w:b/>
          <w:color w:val="000000"/>
          <w:sz w:val="40"/>
          <w:szCs w:val="40"/>
        </w:rPr>
      </w:pPr>
    </w:p>
    <w:p w:rsidR="00AC7037" w:rsidRDefault="00AC7037" w:rsidP="00AC7037">
      <w:pPr>
        <w:spacing w:before="100" w:beforeAutospacing="1" w:after="100" w:afterAutospacing="1" w:line="240" w:lineRule="auto"/>
        <w:jc w:val="center"/>
        <w:rPr>
          <w:rFonts w:eastAsia="Times New Roman" w:cstheme="minorHAnsi"/>
          <w:b/>
          <w:color w:val="000000"/>
          <w:sz w:val="40"/>
          <w:szCs w:val="40"/>
        </w:rPr>
      </w:pPr>
    </w:p>
    <w:p w:rsidR="00AC7037" w:rsidRPr="00AC7037" w:rsidRDefault="00AC7037" w:rsidP="00AC7037">
      <w:pPr>
        <w:spacing w:before="100" w:beforeAutospacing="1" w:after="100" w:afterAutospacing="1" w:line="240" w:lineRule="auto"/>
        <w:jc w:val="center"/>
        <w:rPr>
          <w:rFonts w:eastAsia="Times New Roman" w:cstheme="minorHAnsi"/>
          <w:b/>
          <w:color w:val="000000"/>
          <w:sz w:val="40"/>
          <w:szCs w:val="40"/>
        </w:rPr>
      </w:pPr>
    </w:p>
    <w:p w:rsidR="00552C6E" w:rsidRPr="00A70CCF" w:rsidRDefault="00880043" w:rsidP="00643654">
      <w:pPr>
        <w:rPr>
          <w:rFonts w:eastAsia="Times New Roman" w:cstheme="minorHAnsi"/>
          <w:b/>
          <w:color w:val="000000"/>
          <w:sz w:val="28"/>
          <w:szCs w:val="28"/>
        </w:rPr>
      </w:pPr>
      <w:r>
        <w:rPr>
          <w:rFonts w:eastAsia="Times New Roman" w:cstheme="minorHAnsi"/>
          <w:b/>
          <w:color w:val="000000"/>
          <w:sz w:val="24"/>
          <w:szCs w:val="24"/>
        </w:rPr>
        <w:br w:type="page"/>
      </w:r>
      <w:r w:rsidR="0045460F" w:rsidRPr="00A70CCF">
        <w:rPr>
          <w:rFonts w:eastAsia="Times New Roman" w:cstheme="minorHAnsi"/>
          <w:b/>
          <w:color w:val="000000"/>
          <w:sz w:val="28"/>
          <w:szCs w:val="28"/>
        </w:rPr>
        <w:t>Table of Contents</w:t>
      </w:r>
    </w:p>
    <w:p w:rsidR="0045460F" w:rsidRPr="00817262" w:rsidRDefault="00055FD0" w:rsidP="00A53E85">
      <w:pPr>
        <w:tabs>
          <w:tab w:val="left" w:pos="720"/>
          <w:tab w:val="left" w:pos="79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 xml:space="preserve">1. </w:t>
      </w:r>
      <w:r w:rsidR="0054121C">
        <w:rPr>
          <w:rFonts w:eastAsia="Times New Roman" w:cstheme="minorHAnsi"/>
          <w:color w:val="000000"/>
          <w:sz w:val="24"/>
          <w:szCs w:val="24"/>
        </w:rPr>
        <w:t>Introduction</w:t>
      </w:r>
      <w:r w:rsidR="00364372">
        <w:rPr>
          <w:rFonts w:eastAsia="Times New Roman" w:cstheme="minorHAnsi"/>
          <w:color w:val="000000"/>
          <w:sz w:val="24"/>
          <w:szCs w:val="24"/>
        </w:rPr>
        <w:t>……………………………………………………………………………………………</w:t>
      </w:r>
      <w:r w:rsidR="00A53E85">
        <w:rPr>
          <w:rFonts w:eastAsia="Times New Roman" w:cstheme="minorHAnsi"/>
          <w:color w:val="000000"/>
          <w:sz w:val="24"/>
          <w:szCs w:val="24"/>
        </w:rPr>
        <w:t>.</w:t>
      </w:r>
      <w:r w:rsidR="00364372">
        <w:rPr>
          <w:rFonts w:eastAsia="Times New Roman" w:cstheme="minorHAnsi"/>
          <w:color w:val="000000"/>
          <w:sz w:val="24"/>
          <w:szCs w:val="24"/>
        </w:rPr>
        <w:t>………</w:t>
      </w:r>
      <w:r>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1</w:t>
      </w:r>
    </w:p>
    <w:p w:rsidR="0054121C" w:rsidRDefault="00055FD0"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 xml:space="preserve">2. </w:t>
      </w:r>
      <w:r w:rsidR="0054121C">
        <w:rPr>
          <w:rFonts w:eastAsia="Times New Roman" w:cstheme="minorHAnsi"/>
          <w:color w:val="000000"/>
          <w:sz w:val="24"/>
          <w:szCs w:val="24"/>
        </w:rPr>
        <w:t>Purpose</w:t>
      </w:r>
      <w:r w:rsidR="00364372">
        <w:rPr>
          <w:rFonts w:eastAsia="Times New Roman" w:cstheme="minorHAnsi"/>
          <w:color w:val="000000"/>
          <w:sz w:val="24"/>
          <w:szCs w:val="24"/>
        </w:rPr>
        <w:t>……………………………………………………………………………………………………………</w:t>
      </w:r>
      <w:r>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1</w:t>
      </w:r>
    </w:p>
    <w:p w:rsidR="0054121C" w:rsidRDefault="00CA1067"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3</w:t>
      </w:r>
      <w:r w:rsidR="00055FD0">
        <w:rPr>
          <w:rFonts w:eastAsia="Times New Roman" w:cstheme="minorHAnsi"/>
          <w:color w:val="000000"/>
          <w:sz w:val="24"/>
          <w:szCs w:val="24"/>
        </w:rPr>
        <w:t xml:space="preserve">. </w:t>
      </w:r>
      <w:r w:rsidR="0054121C">
        <w:rPr>
          <w:rFonts w:eastAsia="Times New Roman" w:cstheme="minorHAnsi"/>
          <w:color w:val="000000"/>
          <w:sz w:val="24"/>
          <w:szCs w:val="24"/>
        </w:rPr>
        <w:t>CPDR Reporting Requirements</w:t>
      </w:r>
      <w:r w:rsidR="00364372">
        <w:rPr>
          <w:rFonts w:eastAsia="Times New Roman" w:cstheme="minorHAnsi"/>
          <w:color w:val="000000"/>
          <w:sz w:val="24"/>
          <w:szCs w:val="24"/>
        </w:rPr>
        <w:t>…………………………………………………………………………</w:t>
      </w:r>
      <w:r w:rsidR="00055FD0">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1</w:t>
      </w:r>
    </w:p>
    <w:p w:rsidR="0054121C" w:rsidRDefault="0054121C"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CA1067">
        <w:rPr>
          <w:rFonts w:eastAsia="Times New Roman" w:cstheme="minorHAnsi"/>
          <w:color w:val="000000"/>
          <w:sz w:val="24"/>
          <w:szCs w:val="24"/>
        </w:rPr>
        <w:t>3</w:t>
      </w:r>
      <w:r w:rsidR="001A18A8">
        <w:rPr>
          <w:rFonts w:eastAsia="Times New Roman" w:cstheme="minorHAnsi"/>
          <w:color w:val="000000"/>
          <w:sz w:val="24"/>
          <w:szCs w:val="24"/>
        </w:rPr>
        <w:t>.1</w:t>
      </w:r>
      <w:r w:rsidR="004E0B71">
        <w:rPr>
          <w:rFonts w:eastAsia="Times New Roman" w:cstheme="minorHAnsi"/>
          <w:color w:val="000000"/>
          <w:sz w:val="24"/>
          <w:szCs w:val="24"/>
        </w:rPr>
        <w:t>.</w:t>
      </w:r>
      <w:r w:rsidR="001A18A8">
        <w:rPr>
          <w:rFonts w:eastAsia="Times New Roman" w:cstheme="minorHAnsi"/>
          <w:color w:val="000000"/>
          <w:sz w:val="24"/>
          <w:szCs w:val="24"/>
        </w:rPr>
        <w:t xml:space="preserve"> </w:t>
      </w:r>
      <w:r>
        <w:rPr>
          <w:rFonts w:eastAsia="Times New Roman" w:cstheme="minorHAnsi"/>
          <w:color w:val="000000"/>
          <w:sz w:val="24"/>
          <w:szCs w:val="24"/>
        </w:rPr>
        <w:t>Who is Required to Report</w:t>
      </w:r>
      <w:r w:rsidR="00070885">
        <w:rPr>
          <w:rFonts w:eastAsia="Times New Roman" w:cstheme="minorHAnsi"/>
          <w:color w:val="000000"/>
          <w:sz w:val="24"/>
          <w:szCs w:val="24"/>
        </w:rPr>
        <w:t xml:space="preserve">, and </w:t>
      </w:r>
      <w:r w:rsidR="001E45FC">
        <w:rPr>
          <w:rFonts w:eastAsia="Times New Roman" w:cstheme="minorHAnsi"/>
          <w:color w:val="000000"/>
          <w:sz w:val="24"/>
          <w:szCs w:val="24"/>
        </w:rPr>
        <w:t xml:space="preserve">When? </w:t>
      </w:r>
      <w:r w:rsidR="00364372">
        <w:rPr>
          <w:rFonts w:eastAsia="Times New Roman" w:cstheme="minorHAnsi"/>
          <w:color w:val="000000"/>
          <w:sz w:val="24"/>
          <w:szCs w:val="24"/>
        </w:rPr>
        <w:t>………………………………………….</w:t>
      </w:r>
      <w:r w:rsidR="00055FD0">
        <w:rPr>
          <w:rFonts w:eastAsia="Times New Roman" w:cstheme="minorHAnsi"/>
          <w:color w:val="000000"/>
          <w:sz w:val="24"/>
          <w:szCs w:val="24"/>
        </w:rPr>
        <w:t>.</w:t>
      </w:r>
      <w:r w:rsidR="00364372">
        <w:rPr>
          <w:rFonts w:eastAsia="Times New Roman" w:cstheme="minorHAnsi"/>
          <w:color w:val="000000"/>
          <w:sz w:val="24"/>
          <w:szCs w:val="24"/>
        </w:rPr>
        <w:t>.</w:t>
      </w:r>
      <w:r w:rsidR="001E45FC">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1</w:t>
      </w:r>
    </w:p>
    <w:p w:rsidR="0054121C" w:rsidRDefault="0054121C"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CA1067">
        <w:rPr>
          <w:rFonts w:eastAsia="Times New Roman" w:cstheme="minorHAnsi"/>
          <w:color w:val="000000"/>
          <w:sz w:val="24"/>
          <w:szCs w:val="24"/>
        </w:rPr>
        <w:t>3</w:t>
      </w:r>
      <w:r w:rsidR="001A18A8">
        <w:rPr>
          <w:rFonts w:eastAsia="Times New Roman" w:cstheme="minorHAnsi"/>
          <w:color w:val="000000"/>
          <w:sz w:val="24"/>
          <w:szCs w:val="24"/>
        </w:rPr>
        <w:t>.2</w:t>
      </w:r>
      <w:r w:rsidR="004E0B71">
        <w:rPr>
          <w:rFonts w:eastAsia="Times New Roman" w:cstheme="minorHAnsi"/>
          <w:color w:val="000000"/>
          <w:sz w:val="24"/>
          <w:szCs w:val="24"/>
        </w:rPr>
        <w:t>.</w:t>
      </w:r>
      <w:r w:rsidR="001A18A8">
        <w:rPr>
          <w:rFonts w:eastAsia="Times New Roman" w:cstheme="minorHAnsi"/>
          <w:color w:val="000000"/>
          <w:sz w:val="24"/>
          <w:szCs w:val="24"/>
        </w:rPr>
        <w:t xml:space="preserve"> </w:t>
      </w:r>
      <w:r w:rsidR="00E07A75">
        <w:rPr>
          <w:rFonts w:eastAsia="Times New Roman" w:cstheme="minorHAnsi"/>
          <w:color w:val="000000"/>
          <w:sz w:val="24"/>
          <w:szCs w:val="24"/>
        </w:rPr>
        <w:t>Determination of Reportable Cases.....</w:t>
      </w:r>
      <w:r w:rsidR="00364372">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1</w:t>
      </w:r>
    </w:p>
    <w:p w:rsidR="0054121C" w:rsidRDefault="0054121C" w:rsidP="00A53E85">
      <w:pPr>
        <w:tabs>
          <w:tab w:val="left" w:pos="720"/>
          <w:tab w:val="left" w:pos="79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CA1067">
        <w:rPr>
          <w:rFonts w:eastAsia="Times New Roman" w:cstheme="minorHAnsi"/>
          <w:color w:val="000000"/>
          <w:sz w:val="24"/>
          <w:szCs w:val="24"/>
        </w:rPr>
        <w:t>3</w:t>
      </w:r>
      <w:r w:rsidR="001A18A8">
        <w:rPr>
          <w:rFonts w:eastAsia="Times New Roman" w:cstheme="minorHAnsi"/>
          <w:color w:val="000000"/>
          <w:sz w:val="24"/>
          <w:szCs w:val="24"/>
        </w:rPr>
        <w:t>.3</w:t>
      </w:r>
      <w:r w:rsidR="004E0B71">
        <w:rPr>
          <w:rFonts w:eastAsia="Times New Roman" w:cstheme="minorHAnsi"/>
          <w:color w:val="000000"/>
          <w:sz w:val="24"/>
          <w:szCs w:val="24"/>
        </w:rPr>
        <w:t>.</w:t>
      </w:r>
      <w:r w:rsidR="001A18A8">
        <w:rPr>
          <w:rFonts w:eastAsia="Times New Roman" w:cstheme="minorHAnsi"/>
          <w:color w:val="000000"/>
          <w:sz w:val="24"/>
          <w:szCs w:val="24"/>
        </w:rPr>
        <w:t xml:space="preserve"> </w:t>
      </w:r>
      <w:r w:rsidR="00E07A75">
        <w:rPr>
          <w:rFonts w:eastAsia="Times New Roman" w:cstheme="minorHAnsi"/>
          <w:color w:val="000000"/>
          <w:sz w:val="24"/>
          <w:szCs w:val="24"/>
        </w:rPr>
        <w:t>What is Reportable</w:t>
      </w:r>
      <w:r w:rsidR="007D7F23">
        <w:rPr>
          <w:rFonts w:eastAsia="Times New Roman" w:cstheme="minorHAnsi"/>
          <w:color w:val="000000"/>
          <w:sz w:val="24"/>
          <w:szCs w:val="24"/>
        </w:rPr>
        <w:t>?</w:t>
      </w:r>
      <w:r w:rsidR="00364372">
        <w:rPr>
          <w:rFonts w:eastAsia="Times New Roman" w:cstheme="minorHAnsi"/>
          <w:color w:val="000000"/>
          <w:sz w:val="24"/>
          <w:szCs w:val="24"/>
        </w:rPr>
        <w:t>……………………………………………………</w:t>
      </w:r>
      <w:r w:rsidR="00A53E85">
        <w:rPr>
          <w:rFonts w:eastAsia="Times New Roman" w:cstheme="minorHAnsi"/>
          <w:color w:val="000000"/>
          <w:sz w:val="24"/>
          <w:szCs w:val="24"/>
        </w:rPr>
        <w:t>…………………….</w:t>
      </w:r>
      <w:r w:rsidR="00E07A75">
        <w:rPr>
          <w:rFonts w:eastAsia="Times New Roman" w:cstheme="minorHAnsi"/>
          <w:color w:val="000000"/>
          <w:sz w:val="24"/>
          <w:szCs w:val="24"/>
        </w:rPr>
        <w:t>…</w:t>
      </w:r>
      <w:r w:rsidR="006F3291">
        <w:rPr>
          <w:rFonts w:eastAsia="Times New Roman" w:cstheme="minorHAnsi"/>
          <w:color w:val="000000"/>
          <w:sz w:val="24"/>
          <w:szCs w:val="24"/>
        </w:rPr>
        <w:tab/>
        <w:t>2</w:t>
      </w:r>
    </w:p>
    <w:p w:rsidR="0054121C" w:rsidRDefault="0054121C"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CA1067">
        <w:rPr>
          <w:rFonts w:eastAsia="Times New Roman" w:cstheme="minorHAnsi"/>
          <w:color w:val="000000"/>
          <w:sz w:val="24"/>
          <w:szCs w:val="24"/>
        </w:rPr>
        <w:t>3</w:t>
      </w:r>
      <w:r w:rsidR="001A18A8">
        <w:rPr>
          <w:rFonts w:eastAsia="Times New Roman" w:cstheme="minorHAnsi"/>
          <w:color w:val="000000"/>
          <w:sz w:val="24"/>
          <w:szCs w:val="24"/>
        </w:rPr>
        <w:t>.4</w:t>
      </w:r>
      <w:r w:rsidR="004E0B71">
        <w:rPr>
          <w:rFonts w:eastAsia="Times New Roman" w:cstheme="minorHAnsi"/>
          <w:color w:val="000000"/>
          <w:sz w:val="24"/>
          <w:szCs w:val="24"/>
        </w:rPr>
        <w:t>.</w:t>
      </w:r>
      <w:r w:rsidR="001A18A8">
        <w:rPr>
          <w:rFonts w:eastAsia="Times New Roman" w:cstheme="minorHAnsi"/>
          <w:color w:val="000000"/>
          <w:sz w:val="24"/>
          <w:szCs w:val="24"/>
        </w:rPr>
        <w:t xml:space="preserve"> </w:t>
      </w:r>
      <w:r>
        <w:rPr>
          <w:rFonts w:eastAsia="Times New Roman" w:cstheme="minorHAnsi"/>
          <w:color w:val="000000"/>
          <w:sz w:val="24"/>
          <w:szCs w:val="24"/>
        </w:rPr>
        <w:t>Timing of Reporting</w:t>
      </w:r>
      <w:r w:rsidR="00A53E85">
        <w:rPr>
          <w:rFonts w:eastAsia="Times New Roman" w:cstheme="minorHAnsi"/>
          <w:color w:val="000000"/>
          <w:sz w:val="24"/>
          <w:szCs w:val="24"/>
        </w:rPr>
        <w:t>…………………………………………………………………………</w:t>
      </w:r>
      <w:r w:rsidR="00364372">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2</w:t>
      </w:r>
    </w:p>
    <w:p w:rsidR="00364372" w:rsidRDefault="00CA1067"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4</w:t>
      </w:r>
      <w:r w:rsidR="00055FD0">
        <w:rPr>
          <w:rFonts w:eastAsia="Times New Roman" w:cstheme="minorHAnsi"/>
          <w:color w:val="000000"/>
          <w:sz w:val="24"/>
          <w:szCs w:val="24"/>
        </w:rPr>
        <w:t xml:space="preserve">. </w:t>
      </w:r>
      <w:r w:rsidR="00364372">
        <w:rPr>
          <w:rFonts w:eastAsia="Times New Roman" w:cstheme="minorHAnsi"/>
          <w:color w:val="000000"/>
          <w:sz w:val="24"/>
          <w:szCs w:val="24"/>
        </w:rPr>
        <w:t>Technical Implementati</w:t>
      </w:r>
      <w:r w:rsidR="00A53E85">
        <w:rPr>
          <w:rFonts w:eastAsia="Times New Roman" w:cstheme="minorHAnsi"/>
          <w:color w:val="000000"/>
          <w:sz w:val="24"/>
          <w:szCs w:val="24"/>
        </w:rPr>
        <w:t>on……………………………………………………………………………….</w:t>
      </w:r>
      <w:r w:rsidR="00364372">
        <w:rPr>
          <w:rFonts w:eastAsia="Times New Roman" w:cstheme="minorHAnsi"/>
          <w:color w:val="000000"/>
          <w:sz w:val="24"/>
          <w:szCs w:val="24"/>
        </w:rPr>
        <w:tab/>
      </w:r>
      <w:r w:rsidR="006F3291">
        <w:rPr>
          <w:rFonts w:eastAsia="Times New Roman" w:cstheme="minorHAnsi"/>
          <w:color w:val="000000"/>
          <w:sz w:val="24"/>
          <w:szCs w:val="24"/>
        </w:rPr>
        <w:t>2</w:t>
      </w:r>
    </w:p>
    <w:p w:rsidR="0054121C" w:rsidRDefault="00364372" w:rsidP="00A70CCF">
      <w:pPr>
        <w:tabs>
          <w:tab w:val="left" w:pos="72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4B35B8">
        <w:rPr>
          <w:rFonts w:eastAsia="Times New Roman" w:cstheme="minorHAnsi"/>
          <w:color w:val="000000"/>
          <w:sz w:val="24"/>
          <w:szCs w:val="24"/>
        </w:rPr>
        <w:t>4</w:t>
      </w:r>
      <w:r w:rsidR="001A18A8">
        <w:rPr>
          <w:rFonts w:eastAsia="Times New Roman" w:cstheme="minorHAnsi"/>
          <w:color w:val="000000"/>
          <w:sz w:val="24"/>
          <w:szCs w:val="24"/>
        </w:rPr>
        <w:t xml:space="preserve">.1. </w:t>
      </w:r>
      <w:r w:rsidR="0054121C">
        <w:rPr>
          <w:rFonts w:eastAsia="Times New Roman" w:cstheme="minorHAnsi"/>
          <w:color w:val="000000"/>
          <w:sz w:val="24"/>
          <w:szCs w:val="24"/>
        </w:rPr>
        <w:t>Methods of Reporting</w:t>
      </w:r>
      <w:r w:rsidR="00A53E85">
        <w:rPr>
          <w:rFonts w:eastAsia="Times New Roman" w:cstheme="minorHAnsi"/>
          <w:color w:val="000000"/>
          <w:sz w:val="24"/>
          <w:szCs w:val="24"/>
        </w:rPr>
        <w:t>……………………………………………………………………</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2</w:t>
      </w:r>
    </w:p>
    <w:p w:rsidR="00817262" w:rsidRDefault="0081726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1A18A8">
        <w:rPr>
          <w:rFonts w:eastAsia="Times New Roman" w:cstheme="minorHAnsi"/>
          <w:color w:val="000000"/>
          <w:sz w:val="24"/>
          <w:szCs w:val="24"/>
        </w:rPr>
        <w:tab/>
      </w:r>
      <w:r w:rsidR="008667CB">
        <w:rPr>
          <w:rFonts w:eastAsia="Times New Roman" w:cstheme="minorHAnsi"/>
          <w:color w:val="000000"/>
          <w:sz w:val="24"/>
          <w:szCs w:val="24"/>
        </w:rPr>
        <w:t>Manual</w:t>
      </w:r>
      <w:r w:rsidR="00070885">
        <w:rPr>
          <w:rFonts w:eastAsia="Times New Roman" w:cstheme="minorHAnsi"/>
          <w:color w:val="000000"/>
          <w:sz w:val="24"/>
          <w:szCs w:val="24"/>
        </w:rPr>
        <w:t xml:space="preserve"> Data</w:t>
      </w:r>
      <w:r>
        <w:rPr>
          <w:rFonts w:eastAsia="Times New Roman" w:cstheme="minorHAnsi"/>
          <w:color w:val="000000"/>
          <w:sz w:val="24"/>
          <w:szCs w:val="24"/>
        </w:rPr>
        <w:t xml:space="preserve"> Entry (</w:t>
      </w:r>
      <w:r w:rsidR="008667CB">
        <w:rPr>
          <w:rFonts w:eastAsia="Times New Roman" w:cstheme="minorHAnsi"/>
          <w:color w:val="000000"/>
          <w:sz w:val="24"/>
          <w:szCs w:val="24"/>
        </w:rPr>
        <w:t xml:space="preserve">via Direct Data Entry </w:t>
      </w:r>
      <w:r>
        <w:rPr>
          <w:rFonts w:eastAsia="Times New Roman" w:cstheme="minorHAnsi"/>
          <w:color w:val="000000"/>
          <w:sz w:val="24"/>
          <w:szCs w:val="24"/>
        </w:rPr>
        <w:t>Web Portal)</w:t>
      </w:r>
      <w:r w:rsidR="00364372">
        <w:rPr>
          <w:rFonts w:eastAsia="Times New Roman" w:cstheme="minorHAnsi"/>
          <w:color w:val="000000"/>
          <w:sz w:val="24"/>
          <w:szCs w:val="24"/>
        </w:rPr>
        <w:t>………</w:t>
      </w:r>
      <w:r w:rsidR="001A18A8">
        <w:rPr>
          <w:rFonts w:eastAsia="Times New Roman" w:cstheme="minorHAnsi"/>
          <w:color w:val="000000"/>
          <w:sz w:val="24"/>
          <w:szCs w:val="24"/>
        </w:rPr>
        <w:t>…</w:t>
      </w:r>
      <w:r w:rsidR="008667CB">
        <w:rPr>
          <w:rFonts w:eastAsia="Times New Roman" w:cstheme="minorHAnsi"/>
          <w:color w:val="000000"/>
          <w:sz w:val="24"/>
          <w:szCs w:val="24"/>
        </w:rPr>
        <w:t>……………..</w:t>
      </w:r>
      <w:r w:rsidR="00364372">
        <w:rPr>
          <w:rFonts w:eastAsia="Times New Roman" w:cstheme="minorHAnsi"/>
          <w:color w:val="000000"/>
          <w:sz w:val="24"/>
          <w:szCs w:val="24"/>
        </w:rPr>
        <w:tab/>
      </w:r>
      <w:r w:rsidR="006F3291">
        <w:rPr>
          <w:rFonts w:eastAsia="Times New Roman" w:cstheme="minorHAnsi"/>
          <w:color w:val="000000"/>
          <w:sz w:val="24"/>
          <w:szCs w:val="24"/>
        </w:rPr>
        <w:t>2</w:t>
      </w:r>
    </w:p>
    <w:p w:rsidR="00817262" w:rsidRDefault="0036437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1A18A8">
        <w:rPr>
          <w:rFonts w:eastAsia="Times New Roman" w:cstheme="minorHAnsi"/>
          <w:color w:val="000000"/>
          <w:sz w:val="24"/>
          <w:szCs w:val="24"/>
        </w:rPr>
        <w:tab/>
      </w:r>
      <w:r w:rsidR="008667CB">
        <w:rPr>
          <w:rFonts w:eastAsia="Times New Roman" w:cstheme="minorHAnsi"/>
          <w:color w:val="000000"/>
          <w:sz w:val="24"/>
          <w:szCs w:val="24"/>
        </w:rPr>
        <w:t xml:space="preserve">Automated </w:t>
      </w:r>
      <w:r w:rsidR="00817262">
        <w:rPr>
          <w:rFonts w:eastAsia="Times New Roman" w:cstheme="minorHAnsi"/>
          <w:color w:val="000000"/>
          <w:sz w:val="24"/>
          <w:szCs w:val="24"/>
        </w:rPr>
        <w:t>Elect</w:t>
      </w:r>
      <w:r>
        <w:rPr>
          <w:rFonts w:eastAsia="Times New Roman" w:cstheme="minorHAnsi"/>
          <w:color w:val="000000"/>
          <w:sz w:val="24"/>
          <w:szCs w:val="24"/>
        </w:rPr>
        <w:t xml:space="preserve">ronic </w:t>
      </w:r>
      <w:r w:rsidR="008667CB">
        <w:rPr>
          <w:rFonts w:eastAsia="Times New Roman" w:cstheme="minorHAnsi"/>
          <w:color w:val="000000"/>
          <w:sz w:val="24"/>
          <w:szCs w:val="24"/>
        </w:rPr>
        <w:t xml:space="preserve">Transfer of Case Files (via Electronic </w:t>
      </w:r>
      <w:r>
        <w:rPr>
          <w:rFonts w:eastAsia="Times New Roman" w:cstheme="minorHAnsi"/>
          <w:color w:val="000000"/>
          <w:sz w:val="24"/>
          <w:szCs w:val="24"/>
        </w:rPr>
        <w:t>Int</w:t>
      </w:r>
      <w:r w:rsidR="008667CB">
        <w:rPr>
          <w:rFonts w:eastAsia="Times New Roman" w:cstheme="minorHAnsi"/>
          <w:color w:val="000000"/>
          <w:sz w:val="24"/>
          <w:szCs w:val="24"/>
        </w:rPr>
        <w:t>erface)</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3</w:t>
      </w:r>
    </w:p>
    <w:p w:rsidR="00817262" w:rsidRDefault="0036437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4B35B8">
        <w:rPr>
          <w:rFonts w:eastAsia="Times New Roman" w:cstheme="minorHAnsi"/>
          <w:color w:val="000000"/>
          <w:sz w:val="24"/>
          <w:szCs w:val="24"/>
        </w:rPr>
        <w:t>4</w:t>
      </w:r>
      <w:r w:rsidR="001A18A8">
        <w:rPr>
          <w:rFonts w:eastAsia="Times New Roman" w:cstheme="minorHAnsi"/>
          <w:color w:val="000000"/>
          <w:sz w:val="24"/>
          <w:szCs w:val="24"/>
        </w:rPr>
        <w:t xml:space="preserve">.2. </w:t>
      </w:r>
      <w:r>
        <w:rPr>
          <w:rFonts w:eastAsia="Times New Roman" w:cstheme="minorHAnsi"/>
          <w:color w:val="000000"/>
          <w:sz w:val="24"/>
          <w:szCs w:val="24"/>
        </w:rPr>
        <w:t>Data Elements</w:t>
      </w:r>
      <w:r w:rsidR="00A53E85">
        <w:rPr>
          <w:rFonts w:eastAsia="Times New Roman" w:cstheme="minorHAnsi"/>
          <w:color w:val="000000"/>
          <w:sz w:val="24"/>
          <w:szCs w:val="24"/>
        </w:rPr>
        <w:t>…………………………………………………………………………………</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3</w:t>
      </w:r>
    </w:p>
    <w:p w:rsidR="00817262" w:rsidRDefault="0036437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1A18A8">
        <w:rPr>
          <w:rFonts w:eastAsia="Times New Roman" w:cstheme="minorHAnsi"/>
          <w:color w:val="000000"/>
          <w:sz w:val="24"/>
          <w:szCs w:val="24"/>
        </w:rPr>
        <w:t>4.</w:t>
      </w:r>
      <w:r w:rsidR="004B35B8">
        <w:rPr>
          <w:rFonts w:eastAsia="Times New Roman" w:cstheme="minorHAnsi"/>
          <w:color w:val="000000"/>
          <w:sz w:val="24"/>
          <w:szCs w:val="24"/>
        </w:rPr>
        <w:t>3</w:t>
      </w:r>
      <w:r w:rsidR="004E0B71">
        <w:rPr>
          <w:rFonts w:eastAsia="Times New Roman" w:cstheme="minorHAnsi"/>
          <w:color w:val="000000"/>
          <w:sz w:val="24"/>
          <w:szCs w:val="24"/>
        </w:rPr>
        <w:t>.</w:t>
      </w:r>
      <w:r w:rsidR="001A18A8">
        <w:rPr>
          <w:rFonts w:eastAsia="Times New Roman" w:cstheme="minorHAnsi"/>
          <w:color w:val="000000"/>
          <w:sz w:val="24"/>
          <w:szCs w:val="24"/>
        </w:rPr>
        <w:t xml:space="preserve"> </w:t>
      </w:r>
      <w:r>
        <w:rPr>
          <w:rFonts w:eastAsia="Times New Roman" w:cstheme="minorHAnsi"/>
          <w:color w:val="000000"/>
          <w:sz w:val="24"/>
          <w:szCs w:val="24"/>
        </w:rPr>
        <w:t>Data Format……………</w:t>
      </w:r>
      <w:r w:rsidR="00A53E85">
        <w:rPr>
          <w:rFonts w:eastAsia="Times New Roman" w:cstheme="minorHAnsi"/>
          <w:color w:val="000000"/>
          <w:sz w:val="24"/>
          <w:szCs w:val="24"/>
        </w:rPr>
        <w:t>…………………………………………………………………………</w:t>
      </w:r>
      <w:r w:rsidR="006F3291">
        <w:rPr>
          <w:rFonts w:eastAsia="Times New Roman" w:cstheme="minorHAnsi"/>
          <w:color w:val="000000"/>
          <w:sz w:val="24"/>
          <w:szCs w:val="24"/>
        </w:rPr>
        <w:t>.</w:t>
      </w:r>
      <w:r w:rsidR="006F3291">
        <w:rPr>
          <w:rFonts w:eastAsia="Times New Roman" w:cstheme="minorHAnsi"/>
          <w:color w:val="000000"/>
          <w:sz w:val="24"/>
          <w:szCs w:val="24"/>
        </w:rPr>
        <w:tab/>
        <w:t>3</w:t>
      </w:r>
    </w:p>
    <w:p w:rsidR="00817262" w:rsidRDefault="0036437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4B35B8">
        <w:rPr>
          <w:rFonts w:eastAsia="Times New Roman" w:cstheme="minorHAnsi"/>
          <w:color w:val="000000"/>
          <w:sz w:val="24"/>
          <w:szCs w:val="24"/>
        </w:rPr>
        <w:t>4.4</w:t>
      </w:r>
      <w:r w:rsidR="001A18A8">
        <w:rPr>
          <w:rFonts w:eastAsia="Times New Roman" w:cstheme="minorHAnsi"/>
          <w:color w:val="000000"/>
          <w:sz w:val="24"/>
          <w:szCs w:val="24"/>
        </w:rPr>
        <w:t xml:space="preserve">. </w:t>
      </w:r>
      <w:r w:rsidR="00817262">
        <w:rPr>
          <w:rFonts w:eastAsia="Times New Roman" w:cstheme="minorHAnsi"/>
          <w:color w:val="000000"/>
          <w:sz w:val="24"/>
          <w:szCs w:val="24"/>
        </w:rPr>
        <w:t>Transmission Methods</w:t>
      </w:r>
      <w:r w:rsidR="00A53E85">
        <w:rPr>
          <w:rFonts w:eastAsia="Times New Roman" w:cstheme="minorHAnsi"/>
          <w:color w:val="000000"/>
          <w:sz w:val="24"/>
          <w:szCs w:val="24"/>
        </w:rPr>
        <w:t>………………………………………………………………………</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3</w:t>
      </w:r>
    </w:p>
    <w:p w:rsidR="00055FD0" w:rsidRDefault="00364372"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sidR="004B35B8">
        <w:rPr>
          <w:rFonts w:eastAsia="Times New Roman" w:cstheme="minorHAnsi"/>
          <w:color w:val="000000"/>
          <w:sz w:val="24"/>
          <w:szCs w:val="24"/>
        </w:rPr>
        <w:t>4.</w:t>
      </w:r>
      <w:r w:rsidR="0048596A">
        <w:rPr>
          <w:rFonts w:eastAsia="Times New Roman" w:cstheme="minorHAnsi"/>
          <w:color w:val="000000"/>
          <w:sz w:val="24"/>
          <w:szCs w:val="24"/>
        </w:rPr>
        <w:t>5</w:t>
      </w:r>
      <w:r w:rsidR="001A18A8">
        <w:rPr>
          <w:rFonts w:eastAsia="Times New Roman" w:cstheme="minorHAnsi"/>
          <w:color w:val="000000"/>
          <w:sz w:val="24"/>
          <w:szCs w:val="24"/>
        </w:rPr>
        <w:t xml:space="preserve">. </w:t>
      </w:r>
      <w:r w:rsidR="00055FD0">
        <w:rPr>
          <w:rFonts w:eastAsia="Times New Roman" w:cstheme="minorHAnsi"/>
          <w:color w:val="000000"/>
          <w:sz w:val="24"/>
          <w:szCs w:val="24"/>
        </w:rPr>
        <w:t>On-Boarding…</w:t>
      </w:r>
      <w:r w:rsidR="00A53E85">
        <w:rPr>
          <w:rFonts w:eastAsia="Times New Roman" w:cstheme="minorHAnsi"/>
          <w:color w:val="000000"/>
          <w:sz w:val="24"/>
          <w:szCs w:val="24"/>
        </w:rPr>
        <w:t>…………………………………………………………………………………</w:t>
      </w:r>
      <w:r w:rsidR="00055FD0">
        <w:rPr>
          <w:rFonts w:eastAsia="Times New Roman" w:cstheme="minorHAnsi"/>
          <w:color w:val="000000"/>
          <w:sz w:val="24"/>
          <w:szCs w:val="24"/>
        </w:rPr>
        <w:t>…</w:t>
      </w:r>
      <w:r w:rsidR="00055FD0">
        <w:rPr>
          <w:rFonts w:eastAsia="Times New Roman" w:cstheme="minorHAnsi"/>
          <w:color w:val="000000"/>
          <w:sz w:val="24"/>
          <w:szCs w:val="24"/>
        </w:rPr>
        <w:tab/>
      </w:r>
      <w:r w:rsidR="006F3291">
        <w:rPr>
          <w:rFonts w:eastAsia="Times New Roman" w:cstheme="minorHAnsi"/>
          <w:color w:val="000000"/>
          <w:sz w:val="24"/>
          <w:szCs w:val="24"/>
        </w:rPr>
        <w:t>4</w:t>
      </w:r>
    </w:p>
    <w:p w:rsidR="00055FD0" w:rsidRDefault="00055FD0"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color w:val="000000"/>
          <w:sz w:val="24"/>
          <w:szCs w:val="24"/>
        </w:rPr>
        <w:tab/>
        <w:t>Provider Registration………………………………………………………………………</w:t>
      </w:r>
      <w:r w:rsidR="001A18A8">
        <w:rPr>
          <w:rFonts w:eastAsia="Times New Roman" w:cstheme="minorHAnsi"/>
          <w:color w:val="000000"/>
          <w:sz w:val="24"/>
          <w:szCs w:val="24"/>
        </w:rPr>
        <w:t>.</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4</w:t>
      </w:r>
    </w:p>
    <w:p w:rsidR="00055FD0" w:rsidRDefault="00055FD0"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color w:val="000000"/>
          <w:sz w:val="24"/>
          <w:szCs w:val="24"/>
        </w:rPr>
        <w:tab/>
        <w:t>Data Submission Testing / Validation……………………………………………</w:t>
      </w:r>
      <w:r w:rsidR="001A18A8">
        <w:rPr>
          <w:rFonts w:eastAsia="Times New Roman" w:cstheme="minorHAnsi"/>
          <w:color w:val="000000"/>
          <w:sz w:val="24"/>
          <w:szCs w:val="24"/>
        </w:rPr>
        <w:t>.</w:t>
      </w:r>
      <w:r w:rsidR="00A53E85">
        <w:rPr>
          <w:rFonts w:eastAsia="Times New Roman" w:cstheme="minorHAnsi"/>
          <w:color w:val="000000"/>
          <w:sz w:val="24"/>
          <w:szCs w:val="24"/>
        </w:rPr>
        <w:t>…</w:t>
      </w:r>
      <w:r>
        <w:rPr>
          <w:rFonts w:eastAsia="Times New Roman" w:cstheme="minorHAnsi"/>
          <w:color w:val="000000"/>
          <w:sz w:val="24"/>
          <w:szCs w:val="24"/>
        </w:rPr>
        <w:t>…</w:t>
      </w:r>
      <w:r>
        <w:rPr>
          <w:rFonts w:eastAsia="Times New Roman" w:cstheme="minorHAnsi"/>
          <w:color w:val="000000"/>
          <w:sz w:val="24"/>
          <w:szCs w:val="24"/>
        </w:rPr>
        <w:tab/>
      </w:r>
      <w:r w:rsidR="006F3291">
        <w:rPr>
          <w:rFonts w:eastAsia="Times New Roman" w:cstheme="minorHAnsi"/>
          <w:color w:val="000000"/>
          <w:sz w:val="24"/>
          <w:szCs w:val="24"/>
        </w:rPr>
        <w:t>4</w:t>
      </w:r>
    </w:p>
    <w:p w:rsidR="0054121C" w:rsidRDefault="004B35B8" w:rsidP="00A70CCF">
      <w:pPr>
        <w:tabs>
          <w:tab w:val="left" w:pos="720"/>
          <w:tab w:val="left" w:pos="1080"/>
          <w:tab w:val="right" w:pos="8280"/>
        </w:tabs>
        <w:spacing w:after="0" w:line="360" w:lineRule="auto"/>
        <w:rPr>
          <w:rFonts w:eastAsia="Times New Roman" w:cstheme="minorHAnsi"/>
          <w:color w:val="000000"/>
          <w:sz w:val="24"/>
          <w:szCs w:val="24"/>
        </w:rPr>
      </w:pPr>
      <w:r>
        <w:rPr>
          <w:rFonts w:eastAsia="Times New Roman" w:cstheme="minorHAnsi"/>
          <w:color w:val="000000"/>
          <w:sz w:val="24"/>
          <w:szCs w:val="24"/>
        </w:rPr>
        <w:t>5</w:t>
      </w:r>
      <w:r w:rsidR="00055FD0">
        <w:rPr>
          <w:rFonts w:eastAsia="Times New Roman" w:cstheme="minorHAnsi"/>
          <w:color w:val="000000"/>
          <w:sz w:val="24"/>
          <w:szCs w:val="24"/>
        </w:rPr>
        <w:t>. Ongoing Data Evaluation Plan……………………………………………………………………</w:t>
      </w:r>
      <w:r w:rsidR="001A18A8">
        <w:rPr>
          <w:rFonts w:eastAsia="Times New Roman" w:cstheme="minorHAnsi"/>
          <w:color w:val="000000"/>
          <w:sz w:val="24"/>
          <w:szCs w:val="24"/>
        </w:rPr>
        <w:t>.</w:t>
      </w:r>
      <w:r w:rsidR="00A53E85">
        <w:rPr>
          <w:rFonts w:eastAsia="Times New Roman" w:cstheme="minorHAnsi"/>
          <w:color w:val="000000"/>
          <w:sz w:val="24"/>
          <w:szCs w:val="24"/>
        </w:rPr>
        <w:t>…..</w:t>
      </w:r>
      <w:r w:rsidR="00055FD0">
        <w:rPr>
          <w:rFonts w:eastAsia="Times New Roman" w:cstheme="minorHAnsi"/>
          <w:color w:val="000000"/>
          <w:sz w:val="24"/>
          <w:szCs w:val="24"/>
        </w:rPr>
        <w:t>…</w:t>
      </w:r>
      <w:r w:rsidR="00055FD0">
        <w:rPr>
          <w:rFonts w:eastAsia="Times New Roman" w:cstheme="minorHAnsi"/>
          <w:color w:val="000000"/>
          <w:sz w:val="24"/>
          <w:szCs w:val="24"/>
        </w:rPr>
        <w:tab/>
      </w:r>
      <w:r w:rsidR="006F3291">
        <w:rPr>
          <w:rFonts w:eastAsia="Times New Roman" w:cstheme="minorHAnsi"/>
          <w:color w:val="000000"/>
          <w:sz w:val="24"/>
          <w:szCs w:val="24"/>
        </w:rPr>
        <w:t>5</w:t>
      </w:r>
    </w:p>
    <w:p w:rsidR="00B34042" w:rsidRDefault="00B34042" w:rsidP="00B34042">
      <w:pPr>
        <w:tabs>
          <w:tab w:val="left" w:pos="1530"/>
          <w:tab w:val="right" w:pos="8280"/>
        </w:tabs>
        <w:spacing w:after="0" w:line="240" w:lineRule="auto"/>
        <w:ind w:left="1260" w:hanging="1260"/>
        <w:rPr>
          <w:rFonts w:eastAsia="Times New Roman" w:cstheme="minorHAnsi"/>
          <w:color w:val="000000"/>
          <w:sz w:val="24"/>
          <w:szCs w:val="24"/>
        </w:rPr>
      </w:pPr>
    </w:p>
    <w:p w:rsidR="00A70CCF" w:rsidRPr="00B34042" w:rsidRDefault="00A70CCF" w:rsidP="00B34042">
      <w:pPr>
        <w:tabs>
          <w:tab w:val="left" w:pos="1530"/>
          <w:tab w:val="right" w:pos="8280"/>
        </w:tabs>
        <w:spacing w:after="0" w:line="240" w:lineRule="auto"/>
        <w:ind w:left="1260" w:hanging="1260"/>
        <w:rPr>
          <w:rFonts w:eastAsia="Times New Roman" w:cstheme="minorHAnsi"/>
          <w:color w:val="000000"/>
          <w:sz w:val="24"/>
          <w:szCs w:val="24"/>
        </w:rPr>
      </w:pPr>
      <w:r>
        <w:rPr>
          <w:rFonts w:eastAsia="Times New Roman" w:cstheme="minorHAnsi"/>
          <w:color w:val="000000"/>
          <w:sz w:val="24"/>
          <w:szCs w:val="24"/>
        </w:rPr>
        <w:t>Appendix 1.</w:t>
      </w:r>
      <w:r w:rsidR="00EF4F47">
        <w:rPr>
          <w:rFonts w:eastAsia="Times New Roman" w:cstheme="minorHAnsi"/>
          <w:color w:val="000000"/>
          <w:sz w:val="24"/>
          <w:szCs w:val="24"/>
        </w:rPr>
        <w:t xml:space="preserve"> Table of Data Elements f</w:t>
      </w:r>
      <w:r w:rsidR="0037009C">
        <w:rPr>
          <w:rFonts w:eastAsia="Times New Roman" w:cstheme="minorHAnsi"/>
          <w:color w:val="000000"/>
          <w:sz w:val="24"/>
          <w:szCs w:val="24"/>
        </w:rPr>
        <w:t xml:space="preserve">or </w:t>
      </w:r>
      <w:r w:rsidR="00956AAB">
        <w:rPr>
          <w:rFonts w:eastAsia="Times New Roman" w:cstheme="minorHAnsi"/>
          <w:color w:val="000000"/>
          <w:sz w:val="24"/>
          <w:szCs w:val="24"/>
        </w:rPr>
        <w:t xml:space="preserve">Electronic Reporting </w:t>
      </w:r>
      <w:r w:rsidR="0037009C">
        <w:rPr>
          <w:rFonts w:eastAsia="Times New Roman" w:cstheme="minorHAnsi"/>
          <w:color w:val="000000"/>
          <w:sz w:val="24"/>
          <w:szCs w:val="24"/>
        </w:rPr>
        <w:t>to the California</w:t>
      </w:r>
      <w:r w:rsidR="00B34042">
        <w:rPr>
          <w:rFonts w:eastAsia="Times New Roman" w:cstheme="minorHAnsi"/>
          <w:color w:val="000000"/>
          <w:sz w:val="24"/>
          <w:szCs w:val="24"/>
        </w:rPr>
        <w:t xml:space="preserve"> </w:t>
      </w:r>
      <w:r w:rsidR="00B34042">
        <w:rPr>
          <w:rFonts w:eastAsia="Times New Roman" w:cstheme="minorHAnsi"/>
          <w:color w:val="000000"/>
          <w:sz w:val="24"/>
          <w:szCs w:val="24"/>
        </w:rPr>
        <w:br/>
      </w:r>
      <w:r w:rsidR="0037009C">
        <w:rPr>
          <w:rFonts w:eastAsia="Times New Roman" w:cstheme="minorHAnsi"/>
          <w:color w:val="000000"/>
          <w:sz w:val="24"/>
          <w:szCs w:val="24"/>
        </w:rPr>
        <w:t>Parkinson’s Disease Registry</w:t>
      </w:r>
      <w:r w:rsidR="00B34042">
        <w:rPr>
          <w:rFonts w:eastAsia="Times New Roman" w:cstheme="minorHAnsi"/>
          <w:color w:val="000000"/>
          <w:sz w:val="24"/>
          <w:szCs w:val="24"/>
        </w:rPr>
        <w:t>..................................</w:t>
      </w:r>
      <w:r w:rsidR="00A53E85">
        <w:rPr>
          <w:rFonts w:eastAsia="Times New Roman" w:cstheme="minorHAnsi"/>
          <w:color w:val="000000"/>
          <w:sz w:val="24"/>
          <w:szCs w:val="24"/>
        </w:rPr>
        <w:t>..............................</w:t>
      </w:r>
      <w:r w:rsidR="00B34042">
        <w:rPr>
          <w:rFonts w:eastAsia="Times New Roman" w:cstheme="minorHAnsi"/>
          <w:color w:val="000000"/>
          <w:sz w:val="24"/>
          <w:szCs w:val="24"/>
        </w:rPr>
        <w:t>..</w:t>
      </w:r>
      <w:r w:rsidR="00070885">
        <w:rPr>
          <w:rFonts w:eastAsia="Times New Roman" w:cstheme="minorHAnsi"/>
          <w:color w:val="000000"/>
          <w:sz w:val="24"/>
          <w:szCs w:val="24"/>
        </w:rPr>
        <w:tab/>
      </w:r>
      <w:r w:rsidR="006F3291">
        <w:rPr>
          <w:rFonts w:eastAsia="Times New Roman" w:cstheme="minorHAnsi"/>
          <w:color w:val="000000"/>
          <w:sz w:val="24"/>
          <w:szCs w:val="24"/>
        </w:rPr>
        <w:t>6</w:t>
      </w:r>
    </w:p>
    <w:p w:rsidR="00A70CCF" w:rsidRDefault="00A70CCF" w:rsidP="00871D31">
      <w:pPr>
        <w:tabs>
          <w:tab w:val="left" w:pos="720"/>
          <w:tab w:val="left" w:pos="1080"/>
          <w:tab w:val="right" w:pos="8280"/>
        </w:tabs>
        <w:spacing w:after="0" w:line="360" w:lineRule="auto"/>
        <w:ind w:left="720"/>
        <w:rPr>
          <w:rFonts w:eastAsia="Times New Roman" w:cstheme="minorHAnsi"/>
          <w:color w:val="000000"/>
          <w:sz w:val="24"/>
          <w:szCs w:val="24"/>
        </w:rPr>
      </w:pPr>
    </w:p>
    <w:p w:rsidR="00E3432B" w:rsidRDefault="00E3432B">
      <w:pPr>
        <w:rPr>
          <w:rFonts w:eastAsia="Times New Roman" w:cstheme="minorHAnsi"/>
          <w:color w:val="000000"/>
          <w:sz w:val="24"/>
          <w:szCs w:val="24"/>
        </w:rPr>
        <w:sectPr w:rsidR="00E3432B" w:rsidSect="002E59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pPr>
    </w:p>
    <w:p w:rsidR="00FE11EA" w:rsidRPr="00A70CCF" w:rsidRDefault="001A18A8" w:rsidP="00055FD0">
      <w:pPr>
        <w:rPr>
          <w:rFonts w:eastAsia="Times New Roman" w:cstheme="minorHAnsi"/>
          <w:b/>
          <w:color w:val="000000"/>
          <w:sz w:val="28"/>
          <w:szCs w:val="28"/>
        </w:rPr>
      </w:pPr>
      <w:r w:rsidRPr="00A70CCF">
        <w:rPr>
          <w:rFonts w:eastAsia="Times New Roman" w:cstheme="minorHAnsi"/>
          <w:b/>
          <w:color w:val="000000"/>
          <w:sz w:val="28"/>
          <w:szCs w:val="28"/>
        </w:rPr>
        <w:t xml:space="preserve">1. </w:t>
      </w:r>
      <w:r w:rsidR="00FE11EA" w:rsidRPr="00A70CCF">
        <w:rPr>
          <w:rFonts w:eastAsia="Times New Roman" w:cstheme="minorHAnsi"/>
          <w:b/>
          <w:color w:val="000000"/>
          <w:sz w:val="28"/>
          <w:szCs w:val="28"/>
        </w:rPr>
        <w:t>Introduction</w:t>
      </w:r>
    </w:p>
    <w:p w:rsidR="00FE11EA" w:rsidRPr="006D7D23" w:rsidRDefault="00FE11EA" w:rsidP="005D308E">
      <w:pPr>
        <w:spacing w:line="240" w:lineRule="auto"/>
        <w:rPr>
          <w:rFonts w:eastAsia="Times New Roman" w:cstheme="minorHAnsi"/>
          <w:sz w:val="24"/>
          <w:szCs w:val="24"/>
        </w:rPr>
      </w:pPr>
      <w:r w:rsidRPr="006D7D23">
        <w:rPr>
          <w:rFonts w:eastAsia="Times New Roman" w:cstheme="minorHAnsi"/>
          <w:color w:val="000000"/>
          <w:sz w:val="24"/>
          <w:szCs w:val="24"/>
        </w:rPr>
        <w:t>California State Senate Bill (SB) 97, signed by Governor Jerry Brown in July 2017, established the Richard Paul Hemann Parkinson’s Disease Program, updating the California Health and Safety Code (HSC) [103860-103870] regarding the reporting of Parkinson’s disease. Beginning July 1, 2018, health care providers diagnosing or providing treatment to Parkinson’s disease patients will be required to report each case of Parkinson’s disease to the California Department of Public Health (CDPH). This implementation guide provide</w:t>
      </w:r>
      <w:r w:rsidR="00C625DD">
        <w:rPr>
          <w:rFonts w:eastAsia="Times New Roman" w:cstheme="minorHAnsi"/>
          <w:color w:val="000000"/>
          <w:sz w:val="24"/>
          <w:szCs w:val="24"/>
        </w:rPr>
        <w:t>s</w:t>
      </w:r>
      <w:r w:rsidRPr="006D7D23">
        <w:rPr>
          <w:rFonts w:eastAsia="Times New Roman" w:cstheme="minorHAnsi"/>
          <w:color w:val="000000"/>
          <w:sz w:val="24"/>
          <w:szCs w:val="24"/>
        </w:rPr>
        <w:t xml:space="preserve"> the information needed to meet this new reporting mandate.</w:t>
      </w:r>
    </w:p>
    <w:p w:rsidR="00855493" w:rsidRPr="006D7D23" w:rsidRDefault="00855493">
      <w:pPr>
        <w:rPr>
          <w:rFonts w:cstheme="minorHAnsi"/>
          <w:sz w:val="24"/>
          <w:szCs w:val="24"/>
        </w:rPr>
      </w:pPr>
    </w:p>
    <w:p w:rsidR="00FE11EA" w:rsidRPr="00A70CCF" w:rsidRDefault="001A18A8" w:rsidP="00FE11EA">
      <w:pPr>
        <w:rPr>
          <w:rFonts w:cstheme="minorHAnsi"/>
          <w:b/>
          <w:sz w:val="28"/>
          <w:szCs w:val="28"/>
        </w:rPr>
      </w:pPr>
      <w:r w:rsidRPr="00A70CCF">
        <w:rPr>
          <w:rFonts w:cstheme="minorHAnsi"/>
          <w:b/>
          <w:sz w:val="28"/>
          <w:szCs w:val="28"/>
        </w:rPr>
        <w:t xml:space="preserve">2. </w:t>
      </w:r>
      <w:r w:rsidR="00FE11EA" w:rsidRPr="00A70CCF">
        <w:rPr>
          <w:rFonts w:cstheme="minorHAnsi"/>
          <w:b/>
          <w:sz w:val="28"/>
          <w:szCs w:val="28"/>
        </w:rPr>
        <w:t>Purpose</w:t>
      </w:r>
    </w:p>
    <w:p w:rsidR="00FE11EA" w:rsidRPr="006D7D23" w:rsidRDefault="00811F7F" w:rsidP="00FE11EA">
      <w:pPr>
        <w:rPr>
          <w:rFonts w:cstheme="minorHAnsi"/>
          <w:sz w:val="24"/>
          <w:szCs w:val="24"/>
        </w:rPr>
      </w:pPr>
      <w:r w:rsidRPr="00811F7F">
        <w:rPr>
          <w:rFonts w:cstheme="minorHAnsi"/>
          <w:sz w:val="24"/>
          <w:szCs w:val="24"/>
        </w:rPr>
        <w:t>Th</w:t>
      </w:r>
      <w:r w:rsidR="009E0D82">
        <w:rPr>
          <w:rFonts w:cstheme="minorHAnsi"/>
          <w:sz w:val="24"/>
          <w:szCs w:val="24"/>
        </w:rPr>
        <w:t>is Implementation Guide</w:t>
      </w:r>
      <w:r w:rsidRPr="00811F7F">
        <w:rPr>
          <w:rFonts w:cstheme="minorHAnsi"/>
          <w:sz w:val="24"/>
          <w:szCs w:val="24"/>
        </w:rPr>
        <w:t xml:space="preserve"> outlines who is required to report, the reporting criteria, and the timing of reporting</w:t>
      </w:r>
      <w:r w:rsidR="009E0D82">
        <w:rPr>
          <w:rFonts w:cstheme="minorHAnsi"/>
          <w:sz w:val="24"/>
          <w:szCs w:val="24"/>
        </w:rPr>
        <w:t xml:space="preserve"> to the California Parkinson’s Disease Registry (CPDR). T</w:t>
      </w:r>
      <w:r w:rsidRPr="00811F7F">
        <w:rPr>
          <w:rFonts w:cstheme="minorHAnsi"/>
          <w:sz w:val="24"/>
          <w:szCs w:val="24"/>
        </w:rPr>
        <w:t>he guide defines the methods for reporting, the supported methods for d</w:t>
      </w:r>
      <w:r w:rsidR="00DD3201">
        <w:rPr>
          <w:rFonts w:cstheme="minorHAnsi"/>
          <w:sz w:val="24"/>
          <w:szCs w:val="24"/>
        </w:rPr>
        <w:t>ata transmission, and provides</w:t>
      </w:r>
      <w:r w:rsidRPr="00811F7F">
        <w:rPr>
          <w:rFonts w:cstheme="minorHAnsi"/>
          <w:sz w:val="24"/>
          <w:szCs w:val="24"/>
        </w:rPr>
        <w:t xml:space="preserve"> the necessary specificatio</w:t>
      </w:r>
      <w:r w:rsidR="00CD7C11">
        <w:rPr>
          <w:rFonts w:cstheme="minorHAnsi"/>
          <w:sz w:val="24"/>
          <w:szCs w:val="24"/>
        </w:rPr>
        <w:t xml:space="preserve">ns for reporting of data to </w:t>
      </w:r>
      <w:r w:rsidRPr="00811F7F">
        <w:rPr>
          <w:rFonts w:cstheme="minorHAnsi"/>
          <w:sz w:val="24"/>
          <w:szCs w:val="24"/>
        </w:rPr>
        <w:t xml:space="preserve">CPDR. </w:t>
      </w:r>
      <w:r w:rsidR="009E0D82">
        <w:rPr>
          <w:rFonts w:cstheme="minorHAnsi"/>
          <w:sz w:val="24"/>
          <w:szCs w:val="24"/>
        </w:rPr>
        <w:t>In addition, t</w:t>
      </w:r>
      <w:r w:rsidR="00FE11EA" w:rsidRPr="006D7D23">
        <w:rPr>
          <w:rFonts w:cstheme="minorHAnsi"/>
          <w:sz w:val="24"/>
          <w:szCs w:val="24"/>
        </w:rPr>
        <w:t xml:space="preserve">he guide defines the specific data elements to be included in the </w:t>
      </w:r>
      <w:r w:rsidR="009E0D82">
        <w:rPr>
          <w:rFonts w:cstheme="minorHAnsi"/>
          <w:sz w:val="24"/>
          <w:szCs w:val="24"/>
        </w:rPr>
        <w:t>Parkinson’s disease case</w:t>
      </w:r>
      <w:r w:rsidR="00FE11EA" w:rsidRPr="006D7D23">
        <w:rPr>
          <w:rFonts w:cstheme="minorHAnsi"/>
          <w:sz w:val="24"/>
          <w:szCs w:val="24"/>
        </w:rPr>
        <w:t xml:space="preserve"> reports; describes how to create the appropriate, valid electronic message for transmission; and details how to transmit the report</w:t>
      </w:r>
      <w:r w:rsidR="009E0D82">
        <w:rPr>
          <w:rFonts w:cstheme="minorHAnsi"/>
          <w:sz w:val="24"/>
          <w:szCs w:val="24"/>
        </w:rPr>
        <w:t>s</w:t>
      </w:r>
      <w:r w:rsidR="00FE11EA" w:rsidRPr="006D7D23">
        <w:rPr>
          <w:rFonts w:cstheme="minorHAnsi"/>
          <w:sz w:val="24"/>
          <w:szCs w:val="24"/>
        </w:rPr>
        <w:t xml:space="preserve"> to </w:t>
      </w:r>
      <w:r w:rsidR="00DD3201">
        <w:rPr>
          <w:rFonts w:cstheme="minorHAnsi"/>
          <w:sz w:val="24"/>
          <w:szCs w:val="24"/>
        </w:rPr>
        <w:t>CPDR</w:t>
      </w:r>
      <w:r w:rsidR="00FE11EA" w:rsidRPr="006D7D23">
        <w:rPr>
          <w:rFonts w:cstheme="minorHAnsi"/>
          <w:sz w:val="24"/>
          <w:szCs w:val="24"/>
        </w:rPr>
        <w:t xml:space="preserve"> over a secure electronic transmission mechanism.</w:t>
      </w:r>
    </w:p>
    <w:p w:rsidR="00FE11EA" w:rsidRPr="006D7D23" w:rsidRDefault="00FE11EA" w:rsidP="00FE11EA">
      <w:pPr>
        <w:rPr>
          <w:rFonts w:cstheme="minorHAnsi"/>
          <w:sz w:val="24"/>
          <w:szCs w:val="24"/>
        </w:rPr>
      </w:pPr>
    </w:p>
    <w:p w:rsidR="00FE11EA" w:rsidRPr="00A70CCF" w:rsidRDefault="00DD3201" w:rsidP="00FE11EA">
      <w:pPr>
        <w:rPr>
          <w:rFonts w:cstheme="minorHAnsi"/>
          <w:b/>
          <w:sz w:val="28"/>
          <w:szCs w:val="28"/>
        </w:rPr>
      </w:pPr>
      <w:r>
        <w:rPr>
          <w:rFonts w:cstheme="minorHAnsi"/>
          <w:b/>
          <w:sz w:val="28"/>
          <w:szCs w:val="28"/>
        </w:rPr>
        <w:t>3</w:t>
      </w:r>
      <w:r w:rsidR="001A18A8" w:rsidRPr="00A70CCF">
        <w:rPr>
          <w:rFonts w:cstheme="minorHAnsi"/>
          <w:b/>
          <w:sz w:val="28"/>
          <w:szCs w:val="28"/>
        </w:rPr>
        <w:t xml:space="preserve">. </w:t>
      </w:r>
      <w:r w:rsidR="00FE11EA" w:rsidRPr="00A70CCF">
        <w:rPr>
          <w:rFonts w:cstheme="minorHAnsi"/>
          <w:b/>
          <w:sz w:val="28"/>
          <w:szCs w:val="28"/>
        </w:rPr>
        <w:t>CPDR Reporting Requirements</w:t>
      </w:r>
    </w:p>
    <w:p w:rsidR="00CD7C11" w:rsidRDefault="00CD7C11" w:rsidP="00FE11EA">
      <w:pPr>
        <w:rPr>
          <w:rFonts w:cstheme="minorHAnsi"/>
          <w:b/>
          <w:sz w:val="24"/>
          <w:szCs w:val="24"/>
        </w:rPr>
      </w:pPr>
    </w:p>
    <w:p w:rsidR="00FE11EA" w:rsidRPr="009E0D82" w:rsidRDefault="00DD3201" w:rsidP="00FE11EA">
      <w:pPr>
        <w:rPr>
          <w:rFonts w:cstheme="minorHAnsi"/>
          <w:b/>
          <w:sz w:val="24"/>
          <w:szCs w:val="24"/>
        </w:rPr>
      </w:pPr>
      <w:r>
        <w:rPr>
          <w:rFonts w:cstheme="minorHAnsi"/>
          <w:b/>
          <w:sz w:val="24"/>
          <w:szCs w:val="24"/>
        </w:rPr>
        <w:t>3</w:t>
      </w:r>
      <w:r w:rsidR="006159F9">
        <w:rPr>
          <w:rFonts w:cstheme="minorHAnsi"/>
          <w:b/>
          <w:sz w:val="24"/>
          <w:szCs w:val="24"/>
        </w:rPr>
        <w:t xml:space="preserve">.1. </w:t>
      </w:r>
      <w:r w:rsidR="00A70CCF">
        <w:rPr>
          <w:rFonts w:cstheme="minorHAnsi"/>
          <w:b/>
          <w:sz w:val="24"/>
          <w:szCs w:val="24"/>
        </w:rPr>
        <w:t>Who is R</w:t>
      </w:r>
      <w:r w:rsidR="00FE11EA" w:rsidRPr="009E0D82">
        <w:rPr>
          <w:rFonts w:cstheme="minorHAnsi"/>
          <w:b/>
          <w:sz w:val="24"/>
          <w:szCs w:val="24"/>
        </w:rPr>
        <w:t>equired to Report</w:t>
      </w:r>
      <w:r>
        <w:rPr>
          <w:rFonts w:cstheme="minorHAnsi"/>
          <w:b/>
          <w:sz w:val="24"/>
          <w:szCs w:val="24"/>
        </w:rPr>
        <w:t xml:space="preserve">, </w:t>
      </w:r>
      <w:r w:rsidR="00070885">
        <w:rPr>
          <w:rFonts w:cstheme="minorHAnsi"/>
          <w:b/>
          <w:sz w:val="24"/>
          <w:szCs w:val="24"/>
        </w:rPr>
        <w:t>and W</w:t>
      </w:r>
      <w:r>
        <w:rPr>
          <w:rFonts w:cstheme="minorHAnsi"/>
          <w:b/>
          <w:sz w:val="24"/>
          <w:szCs w:val="24"/>
        </w:rPr>
        <w:t>hen</w:t>
      </w:r>
      <w:r w:rsidR="00B701D9" w:rsidRPr="009E0D82">
        <w:rPr>
          <w:rFonts w:cstheme="minorHAnsi"/>
          <w:b/>
          <w:sz w:val="24"/>
          <w:szCs w:val="24"/>
        </w:rPr>
        <w:t>?</w:t>
      </w:r>
    </w:p>
    <w:p w:rsidR="00B56D29" w:rsidRPr="006D7D23" w:rsidRDefault="00DD3201" w:rsidP="00354F20">
      <w:pPr>
        <w:rPr>
          <w:rFonts w:cstheme="minorHAnsi"/>
          <w:sz w:val="24"/>
          <w:szCs w:val="24"/>
        </w:rPr>
      </w:pPr>
      <w:r>
        <w:rPr>
          <w:rFonts w:cstheme="minorHAnsi"/>
          <w:sz w:val="24"/>
          <w:szCs w:val="24"/>
        </w:rPr>
        <w:t>SB 97 requires that beginning July 1, 2018</w:t>
      </w:r>
      <w:r w:rsidRPr="006D7D23">
        <w:rPr>
          <w:rFonts w:cstheme="minorHAnsi"/>
          <w:sz w:val="24"/>
          <w:szCs w:val="24"/>
        </w:rPr>
        <w:t>, hospitals, facilities, physicians and surgeons, or other healthcare providers diagnosing or providing treatment to Parkinson’s disease patients must report each cas</w:t>
      </w:r>
      <w:r w:rsidR="001845AD">
        <w:rPr>
          <w:rFonts w:cstheme="minorHAnsi"/>
          <w:sz w:val="24"/>
          <w:szCs w:val="24"/>
        </w:rPr>
        <w:t>e of Parkinson’s disease to CDPH</w:t>
      </w:r>
      <w:r>
        <w:rPr>
          <w:rFonts w:cstheme="minorHAnsi"/>
          <w:sz w:val="24"/>
          <w:szCs w:val="24"/>
        </w:rPr>
        <w:t>.</w:t>
      </w:r>
    </w:p>
    <w:p w:rsidR="009E0D82" w:rsidRPr="009E0D82" w:rsidRDefault="00DD3201" w:rsidP="009E0D82">
      <w:pPr>
        <w:rPr>
          <w:rFonts w:cstheme="minorHAnsi"/>
          <w:b/>
          <w:sz w:val="24"/>
          <w:szCs w:val="24"/>
        </w:rPr>
      </w:pPr>
      <w:r>
        <w:rPr>
          <w:rFonts w:cstheme="minorHAnsi"/>
          <w:b/>
          <w:sz w:val="24"/>
          <w:szCs w:val="24"/>
        </w:rPr>
        <w:t>3</w:t>
      </w:r>
      <w:r w:rsidR="006159F9">
        <w:rPr>
          <w:rFonts w:cstheme="minorHAnsi"/>
          <w:b/>
          <w:sz w:val="24"/>
          <w:szCs w:val="24"/>
        </w:rPr>
        <w:t>.2</w:t>
      </w:r>
      <w:r w:rsidR="00931487">
        <w:rPr>
          <w:rFonts w:cstheme="minorHAnsi"/>
          <w:b/>
          <w:sz w:val="24"/>
          <w:szCs w:val="24"/>
        </w:rPr>
        <w:t>.</w:t>
      </w:r>
      <w:r w:rsidR="006159F9">
        <w:rPr>
          <w:rFonts w:cstheme="minorHAnsi"/>
          <w:b/>
          <w:sz w:val="24"/>
          <w:szCs w:val="24"/>
        </w:rPr>
        <w:t xml:space="preserve"> </w:t>
      </w:r>
      <w:r w:rsidR="003E0D4C" w:rsidRPr="00A70CCF">
        <w:rPr>
          <w:rFonts w:cstheme="minorHAnsi"/>
          <w:b/>
          <w:sz w:val="24"/>
          <w:szCs w:val="24"/>
        </w:rPr>
        <w:t>Determination of Reportable Cases</w:t>
      </w:r>
    </w:p>
    <w:p w:rsidR="00DA2709" w:rsidRPr="003E0D4C" w:rsidRDefault="0045460F" w:rsidP="00CD7C11">
      <w:pPr>
        <w:rPr>
          <w:rFonts w:cstheme="minorHAnsi"/>
          <w:sz w:val="24"/>
          <w:szCs w:val="24"/>
        </w:rPr>
      </w:pPr>
      <w:r w:rsidRPr="003E0D4C">
        <w:rPr>
          <w:sz w:val="24"/>
          <w:szCs w:val="24"/>
        </w:rPr>
        <w:t xml:space="preserve">The International Classification of Diseases, Tenth Revision (ICD-10) codes will be used to identify reportable cases of Parkinson’s disease. All </w:t>
      </w:r>
      <w:r w:rsidR="001845AD">
        <w:rPr>
          <w:sz w:val="24"/>
          <w:szCs w:val="24"/>
        </w:rPr>
        <w:t>patient interactions involving one or more</w:t>
      </w:r>
      <w:r w:rsidR="00DA2709" w:rsidRPr="003E0D4C">
        <w:rPr>
          <w:sz w:val="24"/>
          <w:szCs w:val="24"/>
        </w:rPr>
        <w:t xml:space="preserve"> ICD</w:t>
      </w:r>
      <w:r w:rsidR="00F558F4">
        <w:rPr>
          <w:sz w:val="24"/>
          <w:szCs w:val="24"/>
        </w:rPr>
        <w:t>-10</w:t>
      </w:r>
      <w:r w:rsidR="00DA2709" w:rsidRPr="003E0D4C">
        <w:rPr>
          <w:sz w:val="24"/>
          <w:szCs w:val="24"/>
        </w:rPr>
        <w:t xml:space="preserve"> code</w:t>
      </w:r>
      <w:r w:rsidR="001845AD">
        <w:rPr>
          <w:sz w:val="24"/>
          <w:szCs w:val="24"/>
        </w:rPr>
        <w:t>s</w:t>
      </w:r>
      <w:r w:rsidR="00DA2709" w:rsidRPr="003E0D4C">
        <w:rPr>
          <w:sz w:val="24"/>
          <w:szCs w:val="24"/>
        </w:rPr>
        <w:t xml:space="preserve"> </w:t>
      </w:r>
      <w:r w:rsidR="001E6691" w:rsidRPr="003E0D4C">
        <w:rPr>
          <w:sz w:val="24"/>
          <w:szCs w:val="24"/>
        </w:rPr>
        <w:t>provided below</w:t>
      </w:r>
      <w:r w:rsidR="00DA2709" w:rsidRPr="003E0D4C">
        <w:rPr>
          <w:sz w:val="24"/>
          <w:szCs w:val="24"/>
        </w:rPr>
        <w:t xml:space="preserve"> </w:t>
      </w:r>
      <w:r w:rsidR="003E0D4C">
        <w:rPr>
          <w:sz w:val="24"/>
          <w:szCs w:val="24"/>
        </w:rPr>
        <w:t xml:space="preserve">(see Table 1) </w:t>
      </w:r>
      <w:r w:rsidR="00DA2709" w:rsidRPr="003E0D4C">
        <w:rPr>
          <w:sz w:val="24"/>
          <w:szCs w:val="24"/>
        </w:rPr>
        <w:t xml:space="preserve">are reportable except </w:t>
      </w:r>
      <w:r w:rsidR="00DA2709" w:rsidRPr="00F558F4">
        <w:rPr>
          <w:sz w:val="24"/>
          <w:szCs w:val="24"/>
        </w:rPr>
        <w:t xml:space="preserve">when </w:t>
      </w:r>
      <w:r w:rsidR="00DA2709" w:rsidRPr="00F558F4">
        <w:rPr>
          <w:sz w:val="24"/>
          <w:szCs w:val="24"/>
          <w:u w:val="single"/>
        </w:rPr>
        <w:t>both</w:t>
      </w:r>
      <w:r w:rsidR="00DA2709" w:rsidRPr="003E0D4C">
        <w:rPr>
          <w:sz w:val="24"/>
          <w:szCs w:val="24"/>
        </w:rPr>
        <w:t xml:space="preserve"> </w:t>
      </w:r>
      <w:r w:rsidR="00F558F4">
        <w:rPr>
          <w:sz w:val="24"/>
          <w:szCs w:val="24"/>
        </w:rPr>
        <w:t xml:space="preserve">of </w:t>
      </w:r>
      <w:r w:rsidR="00DA2709" w:rsidRPr="003E0D4C">
        <w:rPr>
          <w:sz w:val="24"/>
          <w:szCs w:val="24"/>
        </w:rPr>
        <w:t>the following conditions apply:</w:t>
      </w:r>
    </w:p>
    <w:p w:rsidR="00DA2709" w:rsidRPr="003E0D4C" w:rsidRDefault="00335204" w:rsidP="00CD7C11">
      <w:pPr>
        <w:pStyle w:val="ListParagraph"/>
        <w:keepNext/>
        <w:numPr>
          <w:ilvl w:val="1"/>
          <w:numId w:val="4"/>
        </w:numPr>
        <w:rPr>
          <w:sz w:val="24"/>
          <w:szCs w:val="24"/>
        </w:rPr>
      </w:pPr>
      <w:r w:rsidRPr="003E0D4C">
        <w:rPr>
          <w:sz w:val="24"/>
          <w:szCs w:val="24"/>
        </w:rPr>
        <w:t>The provider</w:t>
      </w:r>
      <w:r w:rsidR="00DA2709" w:rsidRPr="003E0D4C">
        <w:rPr>
          <w:sz w:val="24"/>
          <w:szCs w:val="24"/>
        </w:rPr>
        <w:t xml:space="preserve"> has previously reported on the patient</w:t>
      </w:r>
      <w:r w:rsidR="009E0D82" w:rsidRPr="003E0D4C">
        <w:rPr>
          <w:sz w:val="24"/>
          <w:szCs w:val="24"/>
        </w:rPr>
        <w:t>,</w:t>
      </w:r>
      <w:r w:rsidR="00660F55" w:rsidRPr="003E0D4C">
        <w:rPr>
          <w:sz w:val="24"/>
          <w:szCs w:val="24"/>
        </w:rPr>
        <w:t xml:space="preserve"> </w:t>
      </w:r>
      <w:r w:rsidR="00660F55" w:rsidRPr="00F558F4">
        <w:rPr>
          <w:sz w:val="24"/>
          <w:szCs w:val="24"/>
        </w:rPr>
        <w:t>and</w:t>
      </w:r>
    </w:p>
    <w:p w:rsidR="005A75FE" w:rsidRPr="003E0D4C" w:rsidRDefault="00DA2709" w:rsidP="009E0D82">
      <w:pPr>
        <w:pStyle w:val="ListParagraph"/>
        <w:numPr>
          <w:ilvl w:val="1"/>
          <w:numId w:val="4"/>
        </w:numPr>
        <w:rPr>
          <w:sz w:val="24"/>
          <w:szCs w:val="24"/>
        </w:rPr>
      </w:pPr>
      <w:r w:rsidRPr="003E0D4C">
        <w:rPr>
          <w:sz w:val="24"/>
          <w:szCs w:val="24"/>
        </w:rPr>
        <w:t>Ther</w:t>
      </w:r>
      <w:r w:rsidR="00660F55" w:rsidRPr="003E0D4C">
        <w:rPr>
          <w:sz w:val="24"/>
          <w:szCs w:val="24"/>
        </w:rPr>
        <w:t>e are</w:t>
      </w:r>
      <w:r w:rsidRPr="003E0D4C">
        <w:rPr>
          <w:sz w:val="24"/>
          <w:szCs w:val="24"/>
        </w:rPr>
        <w:t xml:space="preserve"> no change</w:t>
      </w:r>
      <w:r w:rsidR="009E0D82" w:rsidRPr="003E0D4C">
        <w:rPr>
          <w:sz w:val="24"/>
          <w:szCs w:val="24"/>
        </w:rPr>
        <w:t>s</w:t>
      </w:r>
      <w:r w:rsidRPr="003E0D4C">
        <w:rPr>
          <w:sz w:val="24"/>
          <w:szCs w:val="24"/>
        </w:rPr>
        <w:t xml:space="preserve"> to diagnosis, treatment, </w:t>
      </w:r>
      <w:r w:rsidR="009E0D82" w:rsidRPr="003E0D4C">
        <w:rPr>
          <w:sz w:val="24"/>
          <w:szCs w:val="24"/>
        </w:rPr>
        <w:t>or c</w:t>
      </w:r>
      <w:r w:rsidR="001E6691" w:rsidRPr="003E0D4C">
        <w:rPr>
          <w:sz w:val="24"/>
          <w:szCs w:val="24"/>
        </w:rPr>
        <w:t>ardinal signs/symptoms of Parkinson’s disease</w:t>
      </w:r>
      <w:r w:rsidR="00CF26A0">
        <w:rPr>
          <w:sz w:val="24"/>
          <w:szCs w:val="24"/>
        </w:rPr>
        <w:t xml:space="preserve"> since the last report on that patient</w:t>
      </w:r>
      <w:r w:rsidR="001F323B">
        <w:rPr>
          <w:sz w:val="24"/>
          <w:szCs w:val="24"/>
        </w:rPr>
        <w:t>.</w:t>
      </w:r>
    </w:p>
    <w:p w:rsidR="00354F20" w:rsidRPr="000E491D" w:rsidRDefault="00DD3201" w:rsidP="008667CB">
      <w:pPr>
        <w:keepNext/>
        <w:rPr>
          <w:rFonts w:cstheme="minorHAnsi"/>
          <w:b/>
          <w:sz w:val="24"/>
          <w:szCs w:val="24"/>
        </w:rPr>
      </w:pPr>
      <w:r>
        <w:rPr>
          <w:rFonts w:cstheme="minorHAnsi"/>
          <w:b/>
          <w:sz w:val="24"/>
          <w:szCs w:val="24"/>
        </w:rPr>
        <w:t>Table 1. Reportable ICD-10 Codes and Their Clinical Descriptions</w:t>
      </w:r>
    </w:p>
    <w:tbl>
      <w:tblPr>
        <w:tblStyle w:val="TableGrid"/>
        <w:tblW w:w="0" w:type="auto"/>
        <w:tblLook w:val="04A0" w:firstRow="1" w:lastRow="0" w:firstColumn="1" w:lastColumn="0" w:noHBand="0" w:noVBand="1"/>
        <w:tblCaption w:val="Reportable ICD-10 Codes and Their Clinical Descriptions"/>
        <w:tblDescription w:val="This table lists 6 ICD-10 codes that pertain to Parkinson's disease diagnosis"/>
      </w:tblPr>
      <w:tblGrid>
        <w:gridCol w:w="1975"/>
        <w:gridCol w:w="7375"/>
      </w:tblGrid>
      <w:tr w:rsidR="00354F20" w:rsidRPr="006D7D23" w:rsidTr="00F878CF">
        <w:trPr>
          <w:tblHeader/>
        </w:trPr>
        <w:tc>
          <w:tcPr>
            <w:tcW w:w="1975" w:type="dxa"/>
            <w:shd w:val="clear" w:color="auto" w:fill="B4C6E7" w:themeFill="accent5" w:themeFillTint="66"/>
          </w:tcPr>
          <w:p w:rsidR="00354F20" w:rsidRPr="006D7D23" w:rsidRDefault="00354F20" w:rsidP="00354F20">
            <w:pPr>
              <w:rPr>
                <w:rFonts w:cstheme="minorHAnsi"/>
                <w:sz w:val="24"/>
                <w:szCs w:val="24"/>
              </w:rPr>
            </w:pPr>
            <w:r w:rsidRPr="006D7D23">
              <w:rPr>
                <w:rFonts w:cstheme="minorHAnsi"/>
                <w:sz w:val="24"/>
                <w:szCs w:val="24"/>
              </w:rPr>
              <w:t>ICD</w:t>
            </w:r>
            <w:r w:rsidR="000E491D">
              <w:rPr>
                <w:rFonts w:cstheme="minorHAnsi"/>
                <w:sz w:val="24"/>
                <w:szCs w:val="24"/>
              </w:rPr>
              <w:t>-</w:t>
            </w:r>
            <w:r w:rsidRPr="006D7D23">
              <w:rPr>
                <w:rFonts w:cstheme="minorHAnsi"/>
                <w:sz w:val="24"/>
                <w:szCs w:val="24"/>
              </w:rPr>
              <w:t>10 Code</w:t>
            </w:r>
          </w:p>
        </w:tc>
        <w:tc>
          <w:tcPr>
            <w:tcW w:w="7375" w:type="dxa"/>
            <w:shd w:val="clear" w:color="auto" w:fill="B4C6E7" w:themeFill="accent5" w:themeFillTint="66"/>
          </w:tcPr>
          <w:p w:rsidR="00354F20" w:rsidRPr="006D7D23" w:rsidRDefault="00354F20" w:rsidP="00354F20">
            <w:pPr>
              <w:rPr>
                <w:rFonts w:cstheme="minorHAnsi"/>
                <w:sz w:val="24"/>
                <w:szCs w:val="24"/>
              </w:rPr>
            </w:pPr>
            <w:r w:rsidRPr="006D7D23">
              <w:rPr>
                <w:rFonts w:cstheme="minorHAnsi"/>
                <w:sz w:val="24"/>
                <w:szCs w:val="24"/>
              </w:rPr>
              <w:t>Description</w:t>
            </w:r>
          </w:p>
        </w:tc>
      </w:tr>
      <w:tr w:rsidR="00354F20" w:rsidRPr="006D7D23" w:rsidTr="00354F20">
        <w:tc>
          <w:tcPr>
            <w:tcW w:w="1975" w:type="dxa"/>
          </w:tcPr>
          <w:p w:rsidR="00354F20" w:rsidRPr="006D7D23" w:rsidRDefault="003C0273" w:rsidP="00354F20">
            <w:pPr>
              <w:rPr>
                <w:rFonts w:cstheme="minorHAnsi"/>
                <w:sz w:val="24"/>
                <w:szCs w:val="24"/>
              </w:rPr>
            </w:pPr>
            <w:r>
              <w:rPr>
                <w:rFonts w:cstheme="minorHAnsi"/>
                <w:sz w:val="24"/>
                <w:szCs w:val="24"/>
              </w:rPr>
              <w:t>G20***</w:t>
            </w:r>
          </w:p>
        </w:tc>
        <w:tc>
          <w:tcPr>
            <w:tcW w:w="7375" w:type="dxa"/>
          </w:tcPr>
          <w:p w:rsidR="00354F20" w:rsidRPr="006D7D23" w:rsidRDefault="000E491D" w:rsidP="00354F20">
            <w:pPr>
              <w:rPr>
                <w:rFonts w:cstheme="minorHAnsi"/>
                <w:sz w:val="24"/>
                <w:szCs w:val="24"/>
              </w:rPr>
            </w:pPr>
            <w:r>
              <w:rPr>
                <w:rFonts w:cstheme="minorHAnsi"/>
                <w:sz w:val="24"/>
                <w:szCs w:val="24"/>
              </w:rPr>
              <w:t>Parkinson’s d</w:t>
            </w:r>
            <w:r w:rsidR="00354F20" w:rsidRPr="006D7D23">
              <w:rPr>
                <w:rFonts w:cstheme="minorHAnsi"/>
                <w:sz w:val="24"/>
                <w:szCs w:val="24"/>
              </w:rPr>
              <w:t>isease/Parkinsonism</w:t>
            </w:r>
          </w:p>
        </w:tc>
      </w:tr>
      <w:tr w:rsidR="00354F20" w:rsidRPr="006D7D23" w:rsidTr="00354F20">
        <w:tc>
          <w:tcPr>
            <w:tcW w:w="1975" w:type="dxa"/>
          </w:tcPr>
          <w:p w:rsidR="00354F20" w:rsidRPr="006D7D23" w:rsidRDefault="00354F20" w:rsidP="00354F20">
            <w:pPr>
              <w:rPr>
                <w:rFonts w:cstheme="minorHAnsi"/>
                <w:sz w:val="24"/>
                <w:szCs w:val="24"/>
              </w:rPr>
            </w:pPr>
            <w:r w:rsidRPr="006D7D23">
              <w:rPr>
                <w:rFonts w:cstheme="minorHAnsi"/>
                <w:sz w:val="24"/>
                <w:szCs w:val="24"/>
              </w:rPr>
              <w:t>G3183</w:t>
            </w:r>
          </w:p>
        </w:tc>
        <w:tc>
          <w:tcPr>
            <w:tcW w:w="7375" w:type="dxa"/>
          </w:tcPr>
          <w:p w:rsidR="00354F20" w:rsidRPr="006D7D23" w:rsidRDefault="00354F20" w:rsidP="00354F20">
            <w:pPr>
              <w:rPr>
                <w:rFonts w:cstheme="minorHAnsi"/>
                <w:sz w:val="24"/>
                <w:szCs w:val="24"/>
              </w:rPr>
            </w:pPr>
            <w:r w:rsidRPr="006D7D23">
              <w:rPr>
                <w:rFonts w:cstheme="minorHAnsi"/>
                <w:sz w:val="24"/>
                <w:szCs w:val="24"/>
              </w:rPr>
              <w:t>Dementia with Lewy bodies (DLB)</w:t>
            </w:r>
          </w:p>
        </w:tc>
      </w:tr>
      <w:tr w:rsidR="00354F20" w:rsidRPr="006D7D23" w:rsidTr="00354F20">
        <w:tc>
          <w:tcPr>
            <w:tcW w:w="1975" w:type="dxa"/>
          </w:tcPr>
          <w:p w:rsidR="00354F20" w:rsidRPr="006D7D23" w:rsidRDefault="00354F20" w:rsidP="00354F20">
            <w:pPr>
              <w:rPr>
                <w:rFonts w:cstheme="minorHAnsi"/>
                <w:sz w:val="24"/>
                <w:szCs w:val="24"/>
              </w:rPr>
            </w:pPr>
            <w:r w:rsidRPr="006D7D23">
              <w:rPr>
                <w:rFonts w:cstheme="minorHAnsi"/>
                <w:sz w:val="24"/>
                <w:szCs w:val="24"/>
              </w:rPr>
              <w:t>G90.3</w:t>
            </w:r>
          </w:p>
        </w:tc>
        <w:tc>
          <w:tcPr>
            <w:tcW w:w="7375" w:type="dxa"/>
          </w:tcPr>
          <w:p w:rsidR="00354F20" w:rsidRPr="006D7D23" w:rsidRDefault="00354F20" w:rsidP="00354F20">
            <w:pPr>
              <w:rPr>
                <w:rFonts w:cstheme="minorHAnsi"/>
                <w:sz w:val="24"/>
                <w:szCs w:val="24"/>
              </w:rPr>
            </w:pPr>
            <w:r w:rsidRPr="006D7D23">
              <w:rPr>
                <w:rFonts w:cstheme="minorHAnsi"/>
                <w:sz w:val="24"/>
                <w:szCs w:val="24"/>
              </w:rPr>
              <w:t>Parkinsonism with neurogenic orthostatic hypotensions, Multiple system atrophy (MSA), MSA-Parkinson (MSA-P), MSA-Cerebella (MSA-C)</w:t>
            </w:r>
          </w:p>
        </w:tc>
      </w:tr>
      <w:tr w:rsidR="00354F20" w:rsidRPr="006D7D23" w:rsidTr="00354F20">
        <w:tc>
          <w:tcPr>
            <w:tcW w:w="1975" w:type="dxa"/>
          </w:tcPr>
          <w:p w:rsidR="00354F20" w:rsidRPr="006D7D23" w:rsidRDefault="00354F20" w:rsidP="00354F20">
            <w:pPr>
              <w:rPr>
                <w:rFonts w:cstheme="minorHAnsi"/>
                <w:sz w:val="24"/>
                <w:szCs w:val="24"/>
              </w:rPr>
            </w:pPr>
            <w:r w:rsidRPr="006D7D23">
              <w:rPr>
                <w:rFonts w:cstheme="minorHAnsi"/>
                <w:sz w:val="24"/>
                <w:szCs w:val="24"/>
              </w:rPr>
              <w:t>G231 and G232</w:t>
            </w:r>
          </w:p>
        </w:tc>
        <w:tc>
          <w:tcPr>
            <w:tcW w:w="7375" w:type="dxa"/>
          </w:tcPr>
          <w:p w:rsidR="00354F20" w:rsidRPr="006D7D23" w:rsidRDefault="00354F20" w:rsidP="00354F20">
            <w:pPr>
              <w:rPr>
                <w:rFonts w:cstheme="minorHAnsi"/>
                <w:sz w:val="24"/>
                <w:szCs w:val="24"/>
              </w:rPr>
            </w:pPr>
            <w:r w:rsidRPr="006D7D23">
              <w:rPr>
                <w:rFonts w:cstheme="minorHAnsi"/>
                <w:sz w:val="24"/>
                <w:szCs w:val="24"/>
              </w:rPr>
              <w:t>Other degenerative diseases of the basal ganglia (PSP and Striatonigral degeneration</w:t>
            </w:r>
            <w:r w:rsidR="004E0B71">
              <w:rPr>
                <w:rFonts w:cstheme="minorHAnsi"/>
                <w:sz w:val="24"/>
                <w:szCs w:val="24"/>
              </w:rPr>
              <w:t>)</w:t>
            </w:r>
          </w:p>
        </w:tc>
      </w:tr>
      <w:tr w:rsidR="00354F20" w:rsidRPr="006D7D23" w:rsidTr="00354F20">
        <w:tc>
          <w:tcPr>
            <w:tcW w:w="1975" w:type="dxa"/>
          </w:tcPr>
          <w:p w:rsidR="00354F20" w:rsidRPr="006D7D23" w:rsidRDefault="00354F20" w:rsidP="00354F20">
            <w:pPr>
              <w:rPr>
                <w:rFonts w:cstheme="minorHAnsi"/>
                <w:sz w:val="24"/>
                <w:szCs w:val="24"/>
              </w:rPr>
            </w:pPr>
            <w:r w:rsidRPr="006D7D23">
              <w:rPr>
                <w:rFonts w:cstheme="minorHAnsi"/>
                <w:sz w:val="24"/>
                <w:szCs w:val="24"/>
              </w:rPr>
              <w:t>G3185</w:t>
            </w:r>
          </w:p>
        </w:tc>
        <w:tc>
          <w:tcPr>
            <w:tcW w:w="7375" w:type="dxa"/>
          </w:tcPr>
          <w:p w:rsidR="00354F20" w:rsidRPr="006D7D23" w:rsidRDefault="000E491D" w:rsidP="00354F20">
            <w:pPr>
              <w:rPr>
                <w:rFonts w:cstheme="minorHAnsi"/>
                <w:sz w:val="24"/>
                <w:szCs w:val="24"/>
              </w:rPr>
            </w:pPr>
            <w:r>
              <w:rPr>
                <w:rFonts w:cstheme="minorHAnsi"/>
                <w:sz w:val="24"/>
                <w:szCs w:val="24"/>
              </w:rPr>
              <w:t>Corticobasal d</w:t>
            </w:r>
            <w:r w:rsidR="00354F20" w:rsidRPr="006D7D23">
              <w:rPr>
                <w:rFonts w:cstheme="minorHAnsi"/>
                <w:sz w:val="24"/>
                <w:szCs w:val="24"/>
              </w:rPr>
              <w:t>egeneration</w:t>
            </w:r>
          </w:p>
        </w:tc>
      </w:tr>
    </w:tbl>
    <w:p w:rsidR="00354F20" w:rsidRDefault="00F22A6A" w:rsidP="00FE11EA">
      <w:pPr>
        <w:rPr>
          <w:rFonts w:cstheme="minorHAnsi"/>
          <w:sz w:val="24"/>
          <w:szCs w:val="24"/>
        </w:rPr>
      </w:pPr>
      <w:r>
        <w:rPr>
          <w:rFonts w:cstheme="minorHAnsi"/>
          <w:sz w:val="24"/>
          <w:szCs w:val="24"/>
        </w:rPr>
        <w:t>Note: G20*** refers to the primary code of G20 and any other specificity.</w:t>
      </w:r>
    </w:p>
    <w:p w:rsidR="00F22A6A" w:rsidRPr="006D7D23" w:rsidRDefault="00F22A6A" w:rsidP="00FE11EA">
      <w:pPr>
        <w:rPr>
          <w:rFonts w:cstheme="minorHAnsi"/>
          <w:sz w:val="24"/>
          <w:szCs w:val="24"/>
        </w:rPr>
      </w:pPr>
    </w:p>
    <w:p w:rsidR="003E0D4C" w:rsidRPr="00A70CCF" w:rsidRDefault="00DD3201" w:rsidP="003E0D4C">
      <w:pPr>
        <w:rPr>
          <w:rFonts w:cstheme="minorHAnsi"/>
          <w:sz w:val="24"/>
          <w:szCs w:val="24"/>
        </w:rPr>
      </w:pPr>
      <w:r>
        <w:rPr>
          <w:rFonts w:cstheme="minorHAnsi"/>
          <w:b/>
          <w:sz w:val="24"/>
          <w:szCs w:val="24"/>
        </w:rPr>
        <w:t>3</w:t>
      </w:r>
      <w:r w:rsidR="003E0D4C" w:rsidRPr="00A70CCF">
        <w:rPr>
          <w:rFonts w:cstheme="minorHAnsi"/>
          <w:b/>
          <w:sz w:val="24"/>
          <w:szCs w:val="24"/>
        </w:rPr>
        <w:t>.3</w:t>
      </w:r>
      <w:r w:rsidR="00931487">
        <w:rPr>
          <w:rFonts w:cstheme="minorHAnsi"/>
          <w:b/>
          <w:sz w:val="24"/>
          <w:szCs w:val="24"/>
        </w:rPr>
        <w:t>.</w:t>
      </w:r>
      <w:r w:rsidR="003E0D4C" w:rsidRPr="00A70CCF">
        <w:rPr>
          <w:rFonts w:cstheme="minorHAnsi"/>
          <w:b/>
          <w:sz w:val="24"/>
          <w:szCs w:val="24"/>
        </w:rPr>
        <w:t xml:space="preserve"> </w:t>
      </w:r>
      <w:r w:rsidR="003E0D4C" w:rsidRPr="009E0D82">
        <w:rPr>
          <w:rFonts w:cstheme="minorHAnsi"/>
          <w:b/>
          <w:sz w:val="24"/>
          <w:szCs w:val="24"/>
        </w:rPr>
        <w:t>What is Reportable?</w:t>
      </w:r>
    </w:p>
    <w:p w:rsidR="000E491D" w:rsidRDefault="003E0D4C" w:rsidP="003E0D4C">
      <w:pPr>
        <w:rPr>
          <w:rFonts w:eastAsia="Times New Roman" w:cstheme="minorHAnsi"/>
          <w:i/>
          <w:color w:val="000000"/>
          <w:sz w:val="24"/>
          <w:szCs w:val="24"/>
        </w:rPr>
      </w:pPr>
      <w:r w:rsidRPr="000E491D">
        <w:rPr>
          <w:rFonts w:cstheme="minorHAnsi"/>
          <w:sz w:val="24"/>
          <w:szCs w:val="24"/>
        </w:rPr>
        <w:t xml:space="preserve">Reportable data elements are </w:t>
      </w:r>
      <w:r w:rsidR="00CA1067">
        <w:rPr>
          <w:rFonts w:cstheme="minorHAnsi"/>
          <w:sz w:val="24"/>
          <w:szCs w:val="24"/>
        </w:rPr>
        <w:t>identified</w:t>
      </w:r>
      <w:r w:rsidRPr="000E491D">
        <w:rPr>
          <w:rFonts w:cstheme="minorHAnsi"/>
          <w:sz w:val="24"/>
          <w:szCs w:val="24"/>
        </w:rPr>
        <w:t xml:space="preserve"> in </w:t>
      </w:r>
      <w:r w:rsidRPr="0037009C">
        <w:rPr>
          <w:rFonts w:cstheme="minorHAnsi"/>
          <w:i/>
          <w:sz w:val="24"/>
          <w:szCs w:val="24"/>
        </w:rPr>
        <w:t xml:space="preserve">Appendix 1. </w:t>
      </w:r>
      <w:r w:rsidRPr="0037009C">
        <w:rPr>
          <w:rFonts w:eastAsia="Times New Roman" w:cstheme="minorHAnsi"/>
          <w:i/>
          <w:color w:val="000000"/>
          <w:sz w:val="24"/>
          <w:szCs w:val="24"/>
        </w:rPr>
        <w:t xml:space="preserve">Table of Data Elements </w:t>
      </w:r>
      <w:r w:rsidR="001E45FC">
        <w:rPr>
          <w:rFonts w:eastAsia="Times New Roman" w:cstheme="minorHAnsi"/>
          <w:i/>
          <w:color w:val="000000"/>
          <w:sz w:val="24"/>
          <w:szCs w:val="24"/>
        </w:rPr>
        <w:t>f</w:t>
      </w:r>
      <w:r w:rsidRPr="0037009C">
        <w:rPr>
          <w:rFonts w:eastAsia="Times New Roman" w:cstheme="minorHAnsi"/>
          <w:i/>
          <w:color w:val="000000"/>
          <w:sz w:val="24"/>
          <w:szCs w:val="24"/>
        </w:rPr>
        <w:t xml:space="preserve">or </w:t>
      </w:r>
      <w:r w:rsidR="00956AAB">
        <w:rPr>
          <w:rFonts w:eastAsia="Times New Roman" w:cstheme="minorHAnsi"/>
          <w:i/>
          <w:color w:val="000000"/>
          <w:sz w:val="24"/>
          <w:szCs w:val="24"/>
        </w:rPr>
        <w:t xml:space="preserve">Electronic </w:t>
      </w:r>
      <w:r w:rsidRPr="0037009C">
        <w:rPr>
          <w:rFonts w:eastAsia="Times New Roman" w:cstheme="minorHAnsi"/>
          <w:i/>
          <w:color w:val="000000"/>
          <w:sz w:val="24"/>
          <w:szCs w:val="24"/>
        </w:rPr>
        <w:t>Reporting to the California Parkinson’s Disease Registry</w:t>
      </w:r>
      <w:r>
        <w:rPr>
          <w:rFonts w:eastAsia="Times New Roman" w:cstheme="minorHAnsi"/>
          <w:i/>
          <w:color w:val="000000"/>
          <w:sz w:val="24"/>
          <w:szCs w:val="24"/>
        </w:rPr>
        <w:t>.</w:t>
      </w:r>
    </w:p>
    <w:p w:rsidR="00354F20" w:rsidRPr="000E491D" w:rsidRDefault="00DD3201" w:rsidP="00354F20">
      <w:pPr>
        <w:rPr>
          <w:rFonts w:cstheme="minorHAnsi"/>
          <w:b/>
          <w:sz w:val="24"/>
          <w:szCs w:val="24"/>
        </w:rPr>
      </w:pPr>
      <w:r>
        <w:rPr>
          <w:rFonts w:cstheme="minorHAnsi"/>
          <w:b/>
          <w:sz w:val="24"/>
          <w:szCs w:val="24"/>
        </w:rPr>
        <w:t>3</w:t>
      </w:r>
      <w:r w:rsidR="006159F9">
        <w:rPr>
          <w:rFonts w:cstheme="minorHAnsi"/>
          <w:b/>
          <w:sz w:val="24"/>
          <w:szCs w:val="24"/>
        </w:rPr>
        <w:t>.4</w:t>
      </w:r>
      <w:r w:rsidR="00931487">
        <w:rPr>
          <w:rFonts w:cstheme="minorHAnsi"/>
          <w:b/>
          <w:sz w:val="24"/>
          <w:szCs w:val="24"/>
        </w:rPr>
        <w:t>.</w:t>
      </w:r>
      <w:r w:rsidR="006159F9">
        <w:rPr>
          <w:rFonts w:cstheme="minorHAnsi"/>
          <w:b/>
          <w:sz w:val="24"/>
          <w:szCs w:val="24"/>
        </w:rPr>
        <w:t xml:space="preserve"> </w:t>
      </w:r>
      <w:r w:rsidR="00354F20" w:rsidRPr="000E491D">
        <w:rPr>
          <w:rFonts w:cstheme="minorHAnsi"/>
          <w:b/>
          <w:sz w:val="24"/>
          <w:szCs w:val="24"/>
        </w:rPr>
        <w:t>Timing</w:t>
      </w:r>
      <w:r w:rsidR="006159F9">
        <w:rPr>
          <w:rFonts w:cstheme="minorHAnsi"/>
          <w:b/>
          <w:sz w:val="24"/>
          <w:szCs w:val="24"/>
        </w:rPr>
        <w:t xml:space="preserve"> of Reporting</w:t>
      </w:r>
    </w:p>
    <w:p w:rsidR="00354F20" w:rsidRPr="006D7D23" w:rsidRDefault="00354F20" w:rsidP="00354F20">
      <w:pPr>
        <w:rPr>
          <w:rFonts w:cstheme="minorHAnsi"/>
          <w:sz w:val="24"/>
          <w:szCs w:val="24"/>
        </w:rPr>
      </w:pPr>
      <w:r w:rsidRPr="006D7D23">
        <w:rPr>
          <w:rFonts w:cstheme="minorHAnsi"/>
          <w:sz w:val="24"/>
          <w:szCs w:val="24"/>
        </w:rPr>
        <w:t>Cases of Parkinson’s disease will be require</w:t>
      </w:r>
      <w:r w:rsidR="000E491D">
        <w:rPr>
          <w:rFonts w:cstheme="minorHAnsi"/>
          <w:sz w:val="24"/>
          <w:szCs w:val="24"/>
        </w:rPr>
        <w:t>d to be reported within 90 days</w:t>
      </w:r>
      <w:r w:rsidR="00CA1067">
        <w:rPr>
          <w:rFonts w:cstheme="minorHAnsi"/>
          <w:sz w:val="24"/>
          <w:szCs w:val="24"/>
        </w:rPr>
        <w:t xml:space="preserve"> of patient contact</w:t>
      </w:r>
      <w:r w:rsidRPr="006D7D23">
        <w:rPr>
          <w:rFonts w:cstheme="minorHAnsi"/>
          <w:sz w:val="24"/>
          <w:szCs w:val="24"/>
        </w:rPr>
        <w:t xml:space="preserve">. </w:t>
      </w:r>
      <w:r w:rsidR="00DA7EB5">
        <w:rPr>
          <w:rFonts w:cstheme="minorHAnsi"/>
          <w:sz w:val="24"/>
          <w:szCs w:val="24"/>
        </w:rPr>
        <w:t>Automated d</w:t>
      </w:r>
      <w:r w:rsidR="00826B70">
        <w:rPr>
          <w:rFonts w:cstheme="minorHAnsi"/>
          <w:sz w:val="24"/>
          <w:szCs w:val="24"/>
        </w:rPr>
        <w:t xml:space="preserve">ata submissions </w:t>
      </w:r>
      <w:r w:rsidR="00DA7EB5">
        <w:rPr>
          <w:rFonts w:cstheme="minorHAnsi"/>
          <w:sz w:val="24"/>
          <w:szCs w:val="24"/>
        </w:rPr>
        <w:t xml:space="preserve">(discussed in detail below) </w:t>
      </w:r>
      <w:r w:rsidR="00826B70">
        <w:rPr>
          <w:rFonts w:cstheme="minorHAnsi"/>
          <w:sz w:val="24"/>
          <w:szCs w:val="24"/>
        </w:rPr>
        <w:t>from r</w:t>
      </w:r>
      <w:r w:rsidRPr="006D7D23">
        <w:rPr>
          <w:rFonts w:cstheme="minorHAnsi"/>
          <w:sz w:val="24"/>
          <w:szCs w:val="24"/>
        </w:rPr>
        <w:t>eporting</w:t>
      </w:r>
      <w:r w:rsidR="009708B3">
        <w:rPr>
          <w:rFonts w:cstheme="minorHAnsi"/>
          <w:sz w:val="24"/>
          <w:szCs w:val="24"/>
        </w:rPr>
        <w:t xml:space="preserve"> facilit</w:t>
      </w:r>
      <w:r w:rsidR="00CF26A0">
        <w:rPr>
          <w:rFonts w:cstheme="minorHAnsi"/>
          <w:sz w:val="24"/>
          <w:szCs w:val="24"/>
        </w:rPr>
        <w:t>ies</w:t>
      </w:r>
      <w:r w:rsidRPr="006D7D23">
        <w:rPr>
          <w:rFonts w:cstheme="minorHAnsi"/>
          <w:sz w:val="24"/>
          <w:szCs w:val="24"/>
        </w:rPr>
        <w:t xml:space="preserve"> </w:t>
      </w:r>
      <w:r w:rsidR="00826B70">
        <w:rPr>
          <w:rFonts w:cstheme="minorHAnsi"/>
          <w:sz w:val="24"/>
          <w:szCs w:val="24"/>
        </w:rPr>
        <w:t xml:space="preserve">must </w:t>
      </w:r>
      <w:r w:rsidRPr="006D7D23">
        <w:rPr>
          <w:rFonts w:cstheme="minorHAnsi"/>
          <w:sz w:val="24"/>
          <w:szCs w:val="24"/>
        </w:rPr>
        <w:t>occur at least on a quarterly basis.</w:t>
      </w:r>
    </w:p>
    <w:p w:rsidR="00354F20" w:rsidRPr="006D7D23" w:rsidRDefault="00354F20" w:rsidP="00354F20">
      <w:pPr>
        <w:rPr>
          <w:rFonts w:cstheme="minorHAnsi"/>
          <w:sz w:val="24"/>
          <w:szCs w:val="24"/>
        </w:rPr>
      </w:pPr>
    </w:p>
    <w:p w:rsidR="001A6F90" w:rsidRPr="00D1627E" w:rsidRDefault="00DD3201" w:rsidP="001A6F90">
      <w:pPr>
        <w:rPr>
          <w:rFonts w:cstheme="minorHAnsi"/>
          <w:b/>
          <w:sz w:val="24"/>
          <w:szCs w:val="24"/>
        </w:rPr>
      </w:pPr>
      <w:r>
        <w:rPr>
          <w:rFonts w:cstheme="minorHAnsi"/>
          <w:b/>
          <w:sz w:val="28"/>
          <w:szCs w:val="28"/>
        </w:rPr>
        <w:t>4</w:t>
      </w:r>
      <w:r w:rsidR="001A18A8" w:rsidRPr="00A70CCF">
        <w:rPr>
          <w:rFonts w:cstheme="minorHAnsi"/>
          <w:b/>
          <w:sz w:val="28"/>
          <w:szCs w:val="28"/>
        </w:rPr>
        <w:t>. Technical Implementation</w:t>
      </w:r>
      <w:r w:rsidR="001A6F90" w:rsidRPr="00D1627E">
        <w:rPr>
          <w:rFonts w:cstheme="minorHAnsi"/>
          <w:b/>
          <w:sz w:val="24"/>
          <w:szCs w:val="24"/>
        </w:rPr>
        <w:t xml:space="preserve"> </w:t>
      </w:r>
    </w:p>
    <w:p w:rsidR="003B7631" w:rsidRPr="00A70CCF" w:rsidRDefault="003B7631" w:rsidP="00354F20">
      <w:pPr>
        <w:rPr>
          <w:rFonts w:cstheme="minorHAnsi"/>
          <w:b/>
          <w:sz w:val="28"/>
          <w:szCs w:val="28"/>
        </w:rPr>
      </w:pPr>
    </w:p>
    <w:p w:rsidR="00354F20" w:rsidRDefault="00DD3201" w:rsidP="00354F20">
      <w:pPr>
        <w:rPr>
          <w:rFonts w:cstheme="minorHAnsi"/>
          <w:b/>
          <w:sz w:val="24"/>
          <w:szCs w:val="24"/>
        </w:rPr>
      </w:pPr>
      <w:r>
        <w:rPr>
          <w:rFonts w:cstheme="minorHAnsi"/>
          <w:b/>
          <w:sz w:val="24"/>
          <w:szCs w:val="24"/>
        </w:rPr>
        <w:t>4</w:t>
      </w:r>
      <w:r w:rsidR="006159F9">
        <w:rPr>
          <w:rFonts w:cstheme="minorHAnsi"/>
          <w:b/>
          <w:sz w:val="24"/>
          <w:szCs w:val="24"/>
        </w:rPr>
        <w:t xml:space="preserve">.1. </w:t>
      </w:r>
      <w:r w:rsidR="000E491D">
        <w:rPr>
          <w:rFonts w:cstheme="minorHAnsi"/>
          <w:b/>
          <w:sz w:val="24"/>
          <w:szCs w:val="24"/>
        </w:rPr>
        <w:t>Methods for R</w:t>
      </w:r>
      <w:r w:rsidR="00354F20" w:rsidRPr="000E491D">
        <w:rPr>
          <w:rFonts w:cstheme="minorHAnsi"/>
          <w:b/>
          <w:sz w:val="24"/>
          <w:szCs w:val="24"/>
        </w:rPr>
        <w:t>eporting</w:t>
      </w:r>
    </w:p>
    <w:p w:rsidR="001A6F90" w:rsidRDefault="001A6F90" w:rsidP="001A6F90">
      <w:pPr>
        <w:rPr>
          <w:rFonts w:cstheme="minorHAnsi"/>
          <w:sz w:val="24"/>
          <w:szCs w:val="24"/>
        </w:rPr>
      </w:pPr>
      <w:r w:rsidRPr="006D7D23">
        <w:rPr>
          <w:rFonts w:cstheme="minorHAnsi"/>
          <w:sz w:val="24"/>
          <w:szCs w:val="24"/>
        </w:rPr>
        <w:t>C</w:t>
      </w:r>
      <w:r w:rsidR="001F323B">
        <w:rPr>
          <w:rFonts w:cstheme="minorHAnsi"/>
          <w:sz w:val="24"/>
          <w:szCs w:val="24"/>
        </w:rPr>
        <w:t>PD</w:t>
      </w:r>
      <w:r w:rsidRPr="006D7D23">
        <w:rPr>
          <w:rFonts w:cstheme="minorHAnsi"/>
          <w:sz w:val="24"/>
          <w:szCs w:val="24"/>
        </w:rPr>
        <w:t>R will accept electronic case reports through</w:t>
      </w:r>
      <w:r w:rsidR="009708B3">
        <w:rPr>
          <w:rFonts w:cstheme="minorHAnsi"/>
          <w:sz w:val="24"/>
          <w:szCs w:val="24"/>
        </w:rPr>
        <w:t xml:space="preserve"> the two methods of reporting</w:t>
      </w:r>
      <w:r w:rsidRPr="006D7D23">
        <w:rPr>
          <w:rFonts w:cstheme="minorHAnsi"/>
          <w:sz w:val="24"/>
          <w:szCs w:val="24"/>
        </w:rPr>
        <w:t xml:space="preserve">: </w:t>
      </w:r>
      <w:r>
        <w:rPr>
          <w:rFonts w:cstheme="minorHAnsi"/>
          <w:sz w:val="24"/>
          <w:szCs w:val="24"/>
        </w:rPr>
        <w:t xml:space="preserve">manual data entry via Direct Data Entry Web Portal (secure </w:t>
      </w:r>
      <w:r w:rsidR="001F323B">
        <w:rPr>
          <w:rFonts w:cstheme="minorHAnsi"/>
          <w:sz w:val="24"/>
          <w:szCs w:val="24"/>
        </w:rPr>
        <w:t>w</w:t>
      </w:r>
      <w:r>
        <w:rPr>
          <w:rFonts w:cstheme="minorHAnsi"/>
          <w:sz w:val="24"/>
          <w:szCs w:val="24"/>
        </w:rPr>
        <w:t>eb page accessible only to registered providers)</w:t>
      </w:r>
      <w:r w:rsidRPr="006D7D23">
        <w:rPr>
          <w:rFonts w:cstheme="minorHAnsi"/>
          <w:sz w:val="24"/>
          <w:szCs w:val="24"/>
        </w:rPr>
        <w:t xml:space="preserve">, or </w:t>
      </w:r>
      <w:r>
        <w:rPr>
          <w:rFonts w:cstheme="minorHAnsi"/>
          <w:sz w:val="24"/>
          <w:szCs w:val="24"/>
        </w:rPr>
        <w:t xml:space="preserve">automated </w:t>
      </w:r>
      <w:r w:rsidRPr="006D7D23">
        <w:rPr>
          <w:rFonts w:cstheme="minorHAnsi"/>
          <w:sz w:val="24"/>
          <w:szCs w:val="24"/>
        </w:rPr>
        <w:t>electronic transfer of case files</w:t>
      </w:r>
      <w:r>
        <w:rPr>
          <w:rFonts w:cstheme="minorHAnsi"/>
          <w:sz w:val="24"/>
          <w:szCs w:val="24"/>
        </w:rPr>
        <w:t xml:space="preserve"> from the provider’s electronic medical record system</w:t>
      </w:r>
      <w:r w:rsidRPr="006D7D23">
        <w:rPr>
          <w:rFonts w:cstheme="minorHAnsi"/>
          <w:sz w:val="24"/>
          <w:szCs w:val="24"/>
        </w:rPr>
        <w:t>.</w:t>
      </w:r>
    </w:p>
    <w:p w:rsidR="00354F20" w:rsidRPr="006D7D23" w:rsidRDefault="009708B3" w:rsidP="00292EFA">
      <w:pPr>
        <w:ind w:firstLine="720"/>
        <w:rPr>
          <w:rFonts w:cstheme="minorHAnsi"/>
          <w:sz w:val="24"/>
          <w:szCs w:val="24"/>
        </w:rPr>
      </w:pPr>
      <w:r>
        <w:rPr>
          <w:rFonts w:cstheme="minorHAnsi"/>
          <w:b/>
          <w:sz w:val="24"/>
          <w:szCs w:val="24"/>
        </w:rPr>
        <w:t xml:space="preserve">Manual Data Entry (via Direct Data Entry </w:t>
      </w:r>
      <w:r w:rsidR="00354F20" w:rsidRPr="000E491D">
        <w:rPr>
          <w:rFonts w:cstheme="minorHAnsi"/>
          <w:b/>
          <w:sz w:val="24"/>
          <w:szCs w:val="24"/>
        </w:rPr>
        <w:t>Web Portal</w:t>
      </w:r>
      <w:r>
        <w:rPr>
          <w:rFonts w:cstheme="minorHAnsi"/>
          <w:b/>
          <w:sz w:val="24"/>
          <w:szCs w:val="24"/>
        </w:rPr>
        <w:t>)</w:t>
      </w:r>
      <w:r w:rsidR="00354F20" w:rsidRPr="000E491D">
        <w:rPr>
          <w:rFonts w:cstheme="minorHAnsi"/>
          <w:b/>
          <w:sz w:val="24"/>
          <w:szCs w:val="24"/>
        </w:rPr>
        <w:t>:</w:t>
      </w:r>
    </w:p>
    <w:p w:rsidR="00354F20" w:rsidRPr="006D7D23" w:rsidRDefault="00354F20" w:rsidP="0027240E">
      <w:pPr>
        <w:rPr>
          <w:rFonts w:cstheme="minorHAnsi"/>
          <w:sz w:val="24"/>
          <w:szCs w:val="24"/>
        </w:rPr>
      </w:pPr>
      <w:r w:rsidRPr="006D7D23">
        <w:rPr>
          <w:rFonts w:cstheme="minorHAnsi"/>
          <w:sz w:val="24"/>
          <w:szCs w:val="24"/>
        </w:rPr>
        <w:t>A Direct Data Entry Web Portal will be provided for physicians who do not have the ability to output and send an electronic message to</w:t>
      </w:r>
      <w:r w:rsidR="006859F9">
        <w:rPr>
          <w:rFonts w:cstheme="minorHAnsi"/>
          <w:sz w:val="24"/>
          <w:szCs w:val="24"/>
        </w:rPr>
        <w:t xml:space="preserve"> </w:t>
      </w:r>
      <w:r w:rsidRPr="006D7D23">
        <w:rPr>
          <w:rFonts w:cstheme="minorHAnsi"/>
          <w:sz w:val="24"/>
          <w:szCs w:val="24"/>
        </w:rPr>
        <w:t xml:space="preserve">CPDR. The Direct Data Entry Web Portal will support direct entry of </w:t>
      </w:r>
      <w:r w:rsidR="00335204">
        <w:rPr>
          <w:rFonts w:cstheme="minorHAnsi"/>
          <w:sz w:val="24"/>
          <w:szCs w:val="24"/>
        </w:rPr>
        <w:t>‘</w:t>
      </w:r>
      <w:r w:rsidRPr="006D7D23">
        <w:rPr>
          <w:rFonts w:cstheme="minorHAnsi"/>
          <w:sz w:val="24"/>
          <w:szCs w:val="24"/>
        </w:rPr>
        <w:t>required</w:t>
      </w:r>
      <w:r w:rsidR="00335204">
        <w:rPr>
          <w:rFonts w:cstheme="minorHAnsi"/>
          <w:sz w:val="24"/>
          <w:szCs w:val="24"/>
        </w:rPr>
        <w:t>’</w:t>
      </w:r>
      <w:r w:rsidRPr="006D7D23">
        <w:rPr>
          <w:rFonts w:cstheme="minorHAnsi"/>
          <w:sz w:val="24"/>
          <w:szCs w:val="24"/>
        </w:rPr>
        <w:t xml:space="preserve"> and </w:t>
      </w:r>
      <w:r w:rsidR="00335204">
        <w:rPr>
          <w:rFonts w:cstheme="minorHAnsi"/>
          <w:sz w:val="24"/>
          <w:szCs w:val="24"/>
        </w:rPr>
        <w:t>‘</w:t>
      </w:r>
      <w:r w:rsidR="009708B3">
        <w:rPr>
          <w:rFonts w:cstheme="minorHAnsi"/>
          <w:sz w:val="24"/>
          <w:szCs w:val="24"/>
        </w:rPr>
        <w:t>required if available</w:t>
      </w:r>
      <w:r w:rsidR="00335204">
        <w:rPr>
          <w:rFonts w:cstheme="minorHAnsi"/>
          <w:sz w:val="24"/>
          <w:szCs w:val="24"/>
        </w:rPr>
        <w:t>’</w:t>
      </w:r>
      <w:r w:rsidRPr="006D7D23">
        <w:rPr>
          <w:rFonts w:cstheme="minorHAnsi"/>
          <w:sz w:val="24"/>
          <w:szCs w:val="24"/>
        </w:rPr>
        <w:t xml:space="preserve"> data fields. The Direct Data Entry Web Portal will require manual input of data fields and may not be the most efficient solution for physicians or facilities who diagnose and treat</w:t>
      </w:r>
      <w:r w:rsidR="00CF26A0">
        <w:rPr>
          <w:rFonts w:cstheme="minorHAnsi"/>
          <w:sz w:val="24"/>
          <w:szCs w:val="24"/>
        </w:rPr>
        <w:t xml:space="preserve"> a</w:t>
      </w:r>
      <w:r w:rsidRPr="006D7D23">
        <w:rPr>
          <w:rFonts w:cstheme="minorHAnsi"/>
          <w:sz w:val="24"/>
          <w:szCs w:val="24"/>
        </w:rPr>
        <w:t xml:space="preserve"> moderate to high</w:t>
      </w:r>
      <w:r w:rsidR="00CF26A0">
        <w:rPr>
          <w:rFonts w:cstheme="minorHAnsi"/>
          <w:sz w:val="24"/>
          <w:szCs w:val="24"/>
        </w:rPr>
        <w:t xml:space="preserve"> volume</w:t>
      </w:r>
      <w:r w:rsidRPr="006D7D23">
        <w:rPr>
          <w:rFonts w:cstheme="minorHAnsi"/>
          <w:sz w:val="24"/>
          <w:szCs w:val="24"/>
        </w:rPr>
        <w:t xml:space="preserve"> of patients. </w:t>
      </w:r>
    </w:p>
    <w:p w:rsidR="0027240E" w:rsidRPr="000E491D" w:rsidRDefault="009708B3" w:rsidP="00693807">
      <w:pPr>
        <w:keepNext/>
        <w:ind w:firstLine="720"/>
        <w:rPr>
          <w:rFonts w:cstheme="minorHAnsi"/>
          <w:b/>
          <w:sz w:val="24"/>
          <w:szCs w:val="24"/>
        </w:rPr>
      </w:pPr>
      <w:r>
        <w:rPr>
          <w:rFonts w:cstheme="minorHAnsi"/>
          <w:b/>
          <w:sz w:val="24"/>
          <w:szCs w:val="24"/>
        </w:rPr>
        <w:t xml:space="preserve">Automated Electronic Transfer of Case Files (via </w:t>
      </w:r>
      <w:r w:rsidR="0027240E" w:rsidRPr="000E491D">
        <w:rPr>
          <w:rFonts w:cstheme="minorHAnsi"/>
          <w:b/>
          <w:sz w:val="24"/>
          <w:szCs w:val="24"/>
        </w:rPr>
        <w:t>Electronic Interface</w:t>
      </w:r>
      <w:r>
        <w:rPr>
          <w:rFonts w:cstheme="minorHAnsi"/>
          <w:b/>
          <w:sz w:val="24"/>
          <w:szCs w:val="24"/>
        </w:rPr>
        <w:t>)</w:t>
      </w:r>
    </w:p>
    <w:p w:rsidR="007249A4" w:rsidRDefault="00571DAC" w:rsidP="007249A4">
      <w:pPr>
        <w:spacing w:line="240" w:lineRule="auto"/>
        <w:rPr>
          <w:rFonts w:eastAsia="Times New Roman" w:cstheme="minorHAnsi"/>
          <w:color w:val="000000"/>
          <w:sz w:val="24"/>
          <w:szCs w:val="24"/>
        </w:rPr>
      </w:pPr>
      <w:r w:rsidRPr="006D7D23">
        <w:rPr>
          <w:rFonts w:eastAsia="Times New Roman" w:cstheme="minorHAnsi"/>
          <w:color w:val="000000"/>
          <w:sz w:val="24"/>
          <w:szCs w:val="24"/>
        </w:rPr>
        <w:t>CPDR is</w:t>
      </w:r>
      <w:r w:rsidR="00CF26A0">
        <w:rPr>
          <w:rFonts w:eastAsia="Times New Roman" w:cstheme="minorHAnsi"/>
          <w:color w:val="000000"/>
          <w:sz w:val="24"/>
          <w:szCs w:val="24"/>
        </w:rPr>
        <w:t xml:space="preserve"> also</w:t>
      </w:r>
      <w:r w:rsidRPr="006D7D23">
        <w:rPr>
          <w:rFonts w:eastAsia="Times New Roman" w:cstheme="minorHAnsi"/>
          <w:color w:val="000000"/>
          <w:sz w:val="24"/>
          <w:szCs w:val="24"/>
        </w:rPr>
        <w:t xml:space="preserve"> establishing a secure system that healthcare providers can </w:t>
      </w:r>
      <w:r w:rsidR="00CF3CF2">
        <w:rPr>
          <w:rFonts w:eastAsia="Times New Roman" w:cstheme="minorHAnsi"/>
          <w:color w:val="000000"/>
          <w:sz w:val="24"/>
          <w:szCs w:val="24"/>
        </w:rPr>
        <w:t>use</w:t>
      </w:r>
      <w:r w:rsidRPr="006D7D23">
        <w:rPr>
          <w:rFonts w:eastAsia="Times New Roman" w:cstheme="minorHAnsi"/>
          <w:color w:val="000000"/>
          <w:sz w:val="24"/>
          <w:szCs w:val="24"/>
        </w:rPr>
        <w:t xml:space="preserve"> to automate Parkinson's disease case reporting. With the</w:t>
      </w:r>
      <w:r w:rsidR="000E491D">
        <w:rPr>
          <w:rFonts w:eastAsia="Times New Roman" w:cstheme="minorHAnsi"/>
          <w:color w:val="000000"/>
          <w:sz w:val="24"/>
          <w:szCs w:val="24"/>
        </w:rPr>
        <w:t xml:space="preserve"> </w:t>
      </w:r>
      <w:r w:rsidRPr="006D7D23">
        <w:rPr>
          <w:rFonts w:eastAsia="Times New Roman" w:cstheme="minorHAnsi"/>
          <w:color w:val="000000"/>
          <w:sz w:val="24"/>
          <w:szCs w:val="24"/>
        </w:rPr>
        <w:t>advancement of technology in the healthcare environment, healthcare data can be exchanged effici</w:t>
      </w:r>
      <w:r w:rsidR="001845AD">
        <w:rPr>
          <w:rFonts w:eastAsia="Times New Roman" w:cstheme="minorHAnsi"/>
          <w:color w:val="000000"/>
          <w:sz w:val="24"/>
          <w:szCs w:val="24"/>
        </w:rPr>
        <w:t>ently between providers and CPDR</w:t>
      </w:r>
      <w:r w:rsidRPr="006D7D23">
        <w:rPr>
          <w:rFonts w:eastAsia="Times New Roman" w:cstheme="minorHAnsi"/>
          <w:color w:val="000000"/>
          <w:sz w:val="24"/>
          <w:szCs w:val="24"/>
        </w:rPr>
        <w:t xml:space="preserve"> </w:t>
      </w:r>
      <w:r w:rsidR="00CF3CF2">
        <w:rPr>
          <w:rFonts w:eastAsia="Times New Roman" w:cstheme="minorHAnsi"/>
          <w:color w:val="000000"/>
          <w:sz w:val="24"/>
          <w:szCs w:val="24"/>
        </w:rPr>
        <w:t>using</w:t>
      </w:r>
      <w:r w:rsidRPr="006D7D23">
        <w:rPr>
          <w:rFonts w:eastAsia="Times New Roman" w:cstheme="minorHAnsi"/>
          <w:color w:val="000000"/>
          <w:sz w:val="24"/>
          <w:szCs w:val="24"/>
        </w:rPr>
        <w:t xml:space="preserve"> Health Level Seven (HL7) version 2 format standards.</w:t>
      </w:r>
      <w:r w:rsidR="00CF3CF2">
        <w:rPr>
          <w:rFonts w:eastAsia="Times New Roman" w:cstheme="minorHAnsi"/>
          <w:color w:val="000000"/>
          <w:sz w:val="24"/>
          <w:szCs w:val="24"/>
        </w:rPr>
        <w:t xml:space="preserve"> Using this method, information from the patient’s electronic medical record is transmitted to </w:t>
      </w:r>
      <w:r w:rsidR="001F323B">
        <w:rPr>
          <w:rFonts w:eastAsia="Times New Roman" w:cstheme="minorHAnsi"/>
          <w:color w:val="000000"/>
          <w:sz w:val="24"/>
          <w:szCs w:val="24"/>
        </w:rPr>
        <w:t>CPDR</w:t>
      </w:r>
      <w:r w:rsidR="00CF3CF2">
        <w:rPr>
          <w:rFonts w:eastAsia="Times New Roman" w:cstheme="minorHAnsi"/>
          <w:color w:val="000000"/>
          <w:sz w:val="24"/>
          <w:szCs w:val="24"/>
        </w:rPr>
        <w:t xml:space="preserve"> without the physician needing to re-enter into a </w:t>
      </w:r>
      <w:r w:rsidR="001F323B">
        <w:rPr>
          <w:rFonts w:eastAsia="Times New Roman" w:cstheme="minorHAnsi"/>
          <w:color w:val="000000"/>
          <w:sz w:val="24"/>
          <w:szCs w:val="24"/>
        </w:rPr>
        <w:t>w</w:t>
      </w:r>
      <w:r w:rsidR="00CF3CF2">
        <w:rPr>
          <w:rFonts w:eastAsia="Times New Roman" w:cstheme="minorHAnsi"/>
          <w:color w:val="000000"/>
          <w:sz w:val="24"/>
          <w:szCs w:val="24"/>
        </w:rPr>
        <w:t>eb portal.</w:t>
      </w:r>
      <w:r w:rsidRPr="006D7D23">
        <w:rPr>
          <w:rFonts w:eastAsia="Times New Roman" w:cstheme="minorHAnsi"/>
          <w:color w:val="000000"/>
          <w:sz w:val="24"/>
          <w:szCs w:val="24"/>
        </w:rPr>
        <w:t xml:space="preserve"> CPDR has developed an HL7 </w:t>
      </w:r>
      <w:r w:rsidR="0035499A">
        <w:rPr>
          <w:rFonts w:eastAsia="Times New Roman" w:cstheme="minorHAnsi"/>
          <w:color w:val="000000"/>
          <w:sz w:val="24"/>
          <w:szCs w:val="24"/>
        </w:rPr>
        <w:t xml:space="preserve">ORU R01 </w:t>
      </w:r>
      <w:r w:rsidR="000E491D">
        <w:rPr>
          <w:rFonts w:eastAsia="Times New Roman" w:cstheme="minorHAnsi"/>
          <w:color w:val="000000"/>
          <w:sz w:val="24"/>
          <w:szCs w:val="24"/>
        </w:rPr>
        <w:t xml:space="preserve">based </w:t>
      </w:r>
      <w:r w:rsidRPr="006D7D23">
        <w:rPr>
          <w:rFonts w:eastAsia="Times New Roman" w:cstheme="minorHAnsi"/>
          <w:color w:val="000000"/>
          <w:sz w:val="24"/>
          <w:szCs w:val="24"/>
        </w:rPr>
        <w:t xml:space="preserve">specification that providers can </w:t>
      </w:r>
      <w:r w:rsidR="00CF3CF2">
        <w:rPr>
          <w:rFonts w:eastAsia="Times New Roman" w:cstheme="minorHAnsi"/>
          <w:color w:val="000000"/>
          <w:sz w:val="24"/>
          <w:szCs w:val="24"/>
        </w:rPr>
        <w:t>use</w:t>
      </w:r>
      <w:r w:rsidRPr="006D7D23">
        <w:rPr>
          <w:rFonts w:eastAsia="Times New Roman" w:cstheme="minorHAnsi"/>
          <w:color w:val="000000"/>
          <w:sz w:val="24"/>
          <w:szCs w:val="24"/>
        </w:rPr>
        <w:t xml:space="preserve"> to efficiently transmit c</w:t>
      </w:r>
      <w:r w:rsidR="000E491D">
        <w:rPr>
          <w:rFonts w:eastAsia="Times New Roman" w:cstheme="minorHAnsi"/>
          <w:color w:val="000000"/>
          <w:sz w:val="24"/>
          <w:szCs w:val="24"/>
        </w:rPr>
        <w:t xml:space="preserve">ase data. </w:t>
      </w:r>
      <w:r w:rsidR="0083712B">
        <w:rPr>
          <w:rFonts w:eastAsia="Times New Roman" w:cstheme="minorHAnsi"/>
          <w:color w:val="000000"/>
          <w:sz w:val="24"/>
          <w:szCs w:val="24"/>
        </w:rPr>
        <w:t>[</w:t>
      </w:r>
      <w:r w:rsidR="004B35B8">
        <w:rPr>
          <w:rFonts w:eastAsia="Times New Roman" w:cstheme="minorHAnsi"/>
          <w:color w:val="000000"/>
          <w:sz w:val="24"/>
          <w:szCs w:val="24"/>
        </w:rPr>
        <w:t xml:space="preserve">See </w:t>
      </w:r>
      <w:r w:rsidR="004B35B8" w:rsidRPr="007051A4">
        <w:rPr>
          <w:rFonts w:eastAsia="Times New Roman" w:cstheme="minorHAnsi"/>
          <w:i/>
          <w:color w:val="000000"/>
          <w:sz w:val="24"/>
          <w:szCs w:val="24"/>
        </w:rPr>
        <w:t xml:space="preserve">California Parkinson’s Disease Registry, Electronic Reporting </w:t>
      </w:r>
      <w:r w:rsidR="007051A4">
        <w:rPr>
          <w:rFonts w:eastAsia="Times New Roman" w:cstheme="minorHAnsi"/>
          <w:i/>
          <w:color w:val="000000"/>
          <w:sz w:val="24"/>
          <w:szCs w:val="24"/>
        </w:rPr>
        <w:t>of Parkinson’s Disease</w:t>
      </w:r>
      <w:r w:rsidR="001E45FC">
        <w:rPr>
          <w:rFonts w:eastAsia="Times New Roman" w:cstheme="minorHAnsi"/>
          <w:i/>
          <w:color w:val="000000"/>
          <w:sz w:val="24"/>
          <w:szCs w:val="24"/>
        </w:rPr>
        <w:t xml:space="preserve"> </w:t>
      </w:r>
      <w:r w:rsidR="001E45FC" w:rsidRPr="002500C7">
        <w:rPr>
          <w:rFonts w:eastAsia="Times New Roman" w:cstheme="minorHAnsi"/>
          <w:color w:val="000000"/>
          <w:sz w:val="24"/>
          <w:szCs w:val="24"/>
        </w:rPr>
        <w:t>(http://www.cdph.ca.gov/parkinsons)</w:t>
      </w:r>
      <w:r w:rsidR="0083712B">
        <w:rPr>
          <w:rFonts w:eastAsia="Times New Roman" w:cstheme="minorHAnsi"/>
          <w:color w:val="000000"/>
          <w:sz w:val="24"/>
          <w:szCs w:val="24"/>
        </w:rPr>
        <w:t>]</w:t>
      </w:r>
      <w:r w:rsidR="007051A4">
        <w:rPr>
          <w:rFonts w:eastAsia="Times New Roman" w:cstheme="minorHAnsi"/>
          <w:color w:val="000000"/>
          <w:sz w:val="24"/>
          <w:szCs w:val="24"/>
        </w:rPr>
        <w:t>.</w:t>
      </w:r>
      <w:r w:rsidR="001E45FC">
        <w:rPr>
          <w:rFonts w:eastAsia="Times New Roman" w:cstheme="minorHAnsi"/>
          <w:color w:val="000000"/>
          <w:sz w:val="24"/>
          <w:szCs w:val="24"/>
        </w:rPr>
        <w:t xml:space="preserve"> </w:t>
      </w:r>
      <w:r w:rsidR="000E491D">
        <w:rPr>
          <w:rFonts w:eastAsia="Times New Roman" w:cstheme="minorHAnsi"/>
          <w:color w:val="000000"/>
          <w:sz w:val="24"/>
          <w:szCs w:val="24"/>
        </w:rPr>
        <w:t xml:space="preserve">The system is secured using state approved standards </w:t>
      </w:r>
      <w:r w:rsidRPr="006D7D23">
        <w:rPr>
          <w:rFonts w:eastAsia="Times New Roman" w:cstheme="minorHAnsi"/>
          <w:color w:val="000000"/>
          <w:sz w:val="24"/>
          <w:szCs w:val="24"/>
        </w:rPr>
        <w:t>and will ease th</w:t>
      </w:r>
      <w:r w:rsidR="000E491D">
        <w:rPr>
          <w:rFonts w:eastAsia="Times New Roman" w:cstheme="minorHAnsi"/>
          <w:color w:val="000000"/>
          <w:sz w:val="24"/>
          <w:szCs w:val="24"/>
        </w:rPr>
        <w:t xml:space="preserve">e burden of reporting for those providers and </w:t>
      </w:r>
      <w:r w:rsidRPr="006D7D23">
        <w:rPr>
          <w:rFonts w:eastAsia="Times New Roman" w:cstheme="minorHAnsi"/>
          <w:color w:val="000000"/>
          <w:sz w:val="24"/>
          <w:szCs w:val="24"/>
        </w:rPr>
        <w:t xml:space="preserve">facilities willing and able to leverage the technology. </w:t>
      </w:r>
    </w:p>
    <w:p w:rsidR="00571DAC" w:rsidRPr="007249A4" w:rsidRDefault="00DD3201" w:rsidP="007249A4">
      <w:pPr>
        <w:spacing w:line="240" w:lineRule="auto"/>
        <w:rPr>
          <w:rFonts w:eastAsia="Times New Roman" w:cstheme="minorHAnsi"/>
          <w:color w:val="000000"/>
          <w:sz w:val="24"/>
          <w:szCs w:val="24"/>
        </w:rPr>
      </w:pPr>
      <w:r>
        <w:rPr>
          <w:rFonts w:cstheme="minorHAnsi"/>
          <w:b/>
          <w:sz w:val="24"/>
          <w:szCs w:val="24"/>
        </w:rPr>
        <w:t>4</w:t>
      </w:r>
      <w:r w:rsidR="006159F9">
        <w:rPr>
          <w:rFonts w:cstheme="minorHAnsi"/>
          <w:b/>
          <w:sz w:val="24"/>
          <w:szCs w:val="24"/>
        </w:rPr>
        <w:t>.2</w:t>
      </w:r>
      <w:r w:rsidR="00931487">
        <w:rPr>
          <w:rFonts w:cstheme="minorHAnsi"/>
          <w:b/>
          <w:sz w:val="24"/>
          <w:szCs w:val="24"/>
        </w:rPr>
        <w:t>.</w:t>
      </w:r>
      <w:r w:rsidR="006159F9">
        <w:rPr>
          <w:rFonts w:cstheme="minorHAnsi"/>
          <w:b/>
          <w:sz w:val="24"/>
          <w:szCs w:val="24"/>
        </w:rPr>
        <w:t xml:space="preserve"> </w:t>
      </w:r>
      <w:r w:rsidR="006E258F" w:rsidRPr="000E491D">
        <w:rPr>
          <w:rFonts w:cstheme="minorHAnsi"/>
          <w:b/>
          <w:sz w:val="24"/>
          <w:szCs w:val="24"/>
        </w:rPr>
        <w:t>Data Elements</w:t>
      </w:r>
    </w:p>
    <w:p w:rsidR="007249A4" w:rsidRDefault="00693807" w:rsidP="0089732F">
      <w:pPr>
        <w:rPr>
          <w:rFonts w:cstheme="minorHAnsi"/>
          <w:sz w:val="24"/>
          <w:szCs w:val="24"/>
        </w:rPr>
      </w:pPr>
      <w:r>
        <w:rPr>
          <w:rFonts w:cstheme="minorHAnsi"/>
          <w:sz w:val="24"/>
          <w:szCs w:val="24"/>
        </w:rPr>
        <w:t>For either method of reporting, a</w:t>
      </w:r>
      <w:r w:rsidR="006E258F" w:rsidRPr="006D7D23">
        <w:rPr>
          <w:rFonts w:cstheme="minorHAnsi"/>
          <w:sz w:val="24"/>
          <w:szCs w:val="24"/>
        </w:rPr>
        <w:t xml:space="preserve">ll data elements listed </w:t>
      </w:r>
      <w:r w:rsidR="0037009C">
        <w:rPr>
          <w:rFonts w:cstheme="minorHAnsi"/>
          <w:sz w:val="24"/>
          <w:szCs w:val="24"/>
        </w:rPr>
        <w:t xml:space="preserve">in </w:t>
      </w:r>
      <w:r w:rsidR="0037009C" w:rsidRPr="0037009C">
        <w:rPr>
          <w:rFonts w:cstheme="minorHAnsi"/>
          <w:i/>
          <w:sz w:val="24"/>
          <w:szCs w:val="24"/>
        </w:rPr>
        <w:t xml:space="preserve">Appendix 1. </w:t>
      </w:r>
      <w:r w:rsidR="00B34042">
        <w:rPr>
          <w:rFonts w:eastAsia="Times New Roman" w:cstheme="minorHAnsi"/>
          <w:i/>
          <w:color w:val="000000"/>
          <w:sz w:val="24"/>
          <w:szCs w:val="24"/>
        </w:rPr>
        <w:t>Table of Data Elements f</w:t>
      </w:r>
      <w:r w:rsidR="0037009C" w:rsidRPr="0037009C">
        <w:rPr>
          <w:rFonts w:eastAsia="Times New Roman" w:cstheme="minorHAnsi"/>
          <w:i/>
          <w:color w:val="000000"/>
          <w:sz w:val="24"/>
          <w:szCs w:val="24"/>
        </w:rPr>
        <w:t xml:space="preserve">or </w:t>
      </w:r>
      <w:r w:rsidR="00956AAB">
        <w:rPr>
          <w:rFonts w:eastAsia="Times New Roman" w:cstheme="minorHAnsi"/>
          <w:i/>
          <w:color w:val="000000"/>
          <w:sz w:val="24"/>
          <w:szCs w:val="24"/>
        </w:rPr>
        <w:t xml:space="preserve">Electronic </w:t>
      </w:r>
      <w:r w:rsidR="0037009C" w:rsidRPr="0037009C">
        <w:rPr>
          <w:rFonts w:eastAsia="Times New Roman" w:cstheme="minorHAnsi"/>
          <w:i/>
          <w:color w:val="000000"/>
          <w:sz w:val="24"/>
          <w:szCs w:val="24"/>
        </w:rPr>
        <w:t>Reporting to the California Parkinson’s Disease Registry</w:t>
      </w:r>
      <w:r w:rsidR="00F3752C">
        <w:rPr>
          <w:rFonts w:cstheme="minorHAnsi"/>
          <w:sz w:val="24"/>
          <w:szCs w:val="24"/>
        </w:rPr>
        <w:t xml:space="preserve"> </w:t>
      </w:r>
      <w:r w:rsidR="006E258F" w:rsidRPr="006D7D23">
        <w:rPr>
          <w:rFonts w:cstheme="minorHAnsi"/>
          <w:sz w:val="24"/>
          <w:szCs w:val="24"/>
        </w:rPr>
        <w:t>are required or required if accessible. If a data element is required, it must be transmitted with a value other than empty, blank, or null</w:t>
      </w:r>
      <w:r w:rsidR="00FC04CC">
        <w:rPr>
          <w:rFonts w:cstheme="minorHAnsi"/>
          <w:sz w:val="24"/>
          <w:szCs w:val="24"/>
        </w:rPr>
        <w:t>,</w:t>
      </w:r>
      <w:r w:rsidR="001A6F90">
        <w:rPr>
          <w:rFonts w:cstheme="minorHAnsi"/>
          <w:sz w:val="24"/>
          <w:szCs w:val="24"/>
        </w:rPr>
        <w:t xml:space="preserve"> or the record will not be accepted</w:t>
      </w:r>
      <w:r w:rsidR="006E258F" w:rsidRPr="006D7D23">
        <w:rPr>
          <w:rFonts w:cstheme="minorHAnsi"/>
          <w:sz w:val="24"/>
          <w:szCs w:val="24"/>
        </w:rPr>
        <w:t xml:space="preserve">. For a data element that is required if available, it must be sent when a known value is </w:t>
      </w:r>
      <w:r w:rsidR="00845C56">
        <w:rPr>
          <w:rFonts w:cstheme="minorHAnsi"/>
          <w:sz w:val="24"/>
          <w:szCs w:val="24"/>
        </w:rPr>
        <w:t>available</w:t>
      </w:r>
      <w:r w:rsidR="006E258F" w:rsidRPr="006D7D23">
        <w:rPr>
          <w:rFonts w:cstheme="minorHAnsi"/>
          <w:sz w:val="24"/>
          <w:szCs w:val="24"/>
        </w:rPr>
        <w:t>. However, if a data element has an allowable code for “unknown”, then that code should be transmitted for that element instead of an empty value.</w:t>
      </w:r>
    </w:p>
    <w:p w:rsidR="006E258F" w:rsidRPr="007249A4" w:rsidRDefault="00DD3201" w:rsidP="0089732F">
      <w:pPr>
        <w:rPr>
          <w:rFonts w:cstheme="minorHAnsi"/>
          <w:sz w:val="24"/>
          <w:szCs w:val="24"/>
        </w:rPr>
      </w:pPr>
      <w:r>
        <w:rPr>
          <w:rFonts w:cstheme="minorHAnsi"/>
          <w:b/>
          <w:sz w:val="24"/>
          <w:szCs w:val="24"/>
        </w:rPr>
        <w:t>4</w:t>
      </w:r>
      <w:r w:rsidR="006159F9">
        <w:rPr>
          <w:rFonts w:cstheme="minorHAnsi"/>
          <w:b/>
          <w:sz w:val="24"/>
          <w:szCs w:val="24"/>
        </w:rPr>
        <w:t>.</w:t>
      </w:r>
      <w:r w:rsidR="00CA1067">
        <w:rPr>
          <w:rFonts w:cstheme="minorHAnsi"/>
          <w:b/>
          <w:sz w:val="24"/>
          <w:szCs w:val="24"/>
        </w:rPr>
        <w:t>3</w:t>
      </w:r>
      <w:r w:rsidR="006159F9">
        <w:rPr>
          <w:rFonts w:cstheme="minorHAnsi"/>
          <w:b/>
          <w:sz w:val="24"/>
          <w:szCs w:val="24"/>
        </w:rPr>
        <w:t xml:space="preserve">. </w:t>
      </w:r>
      <w:r w:rsidR="006E258F" w:rsidRPr="00D1627E">
        <w:rPr>
          <w:rFonts w:cstheme="minorHAnsi"/>
          <w:b/>
          <w:sz w:val="24"/>
          <w:szCs w:val="24"/>
        </w:rPr>
        <w:t>Data Format</w:t>
      </w:r>
    </w:p>
    <w:p w:rsidR="00571DAC" w:rsidRPr="006D7D23" w:rsidRDefault="00845C56" w:rsidP="00571DAC">
      <w:pPr>
        <w:rPr>
          <w:rFonts w:cstheme="minorHAnsi"/>
          <w:sz w:val="24"/>
          <w:szCs w:val="24"/>
        </w:rPr>
      </w:pPr>
      <w:r>
        <w:rPr>
          <w:rFonts w:cstheme="minorHAnsi"/>
          <w:sz w:val="24"/>
          <w:szCs w:val="24"/>
        </w:rPr>
        <w:t xml:space="preserve">For either reporting method, </w:t>
      </w:r>
      <w:r w:rsidR="00571DAC" w:rsidRPr="006D7D23">
        <w:rPr>
          <w:rFonts w:cstheme="minorHAnsi"/>
          <w:sz w:val="24"/>
          <w:szCs w:val="24"/>
        </w:rPr>
        <w:t>CPDR is limiting the formatting of Parkinson’s disease reports to the following options:</w:t>
      </w:r>
    </w:p>
    <w:p w:rsidR="009D5F7B" w:rsidRPr="006D7D23" w:rsidRDefault="009D5F7B" w:rsidP="001845AD">
      <w:pPr>
        <w:pStyle w:val="ListParagraph"/>
        <w:keepNext/>
        <w:numPr>
          <w:ilvl w:val="0"/>
          <w:numId w:val="2"/>
        </w:numPr>
        <w:ind w:left="720"/>
        <w:rPr>
          <w:rFonts w:cstheme="minorHAnsi"/>
          <w:sz w:val="24"/>
          <w:szCs w:val="24"/>
        </w:rPr>
      </w:pPr>
      <w:r>
        <w:rPr>
          <w:rFonts w:cstheme="minorHAnsi"/>
          <w:sz w:val="24"/>
          <w:szCs w:val="24"/>
        </w:rPr>
        <w:t xml:space="preserve">Structured using </w:t>
      </w:r>
      <w:r w:rsidRPr="006D7D23">
        <w:rPr>
          <w:rFonts w:cstheme="minorHAnsi"/>
          <w:sz w:val="24"/>
          <w:szCs w:val="24"/>
        </w:rPr>
        <w:t>Unified Parkinson’s Disease Rating Scale (UPDRS)</w:t>
      </w:r>
    </w:p>
    <w:p w:rsidR="00571DAC" w:rsidRPr="006D7D23" w:rsidRDefault="003B7631" w:rsidP="001845AD">
      <w:pPr>
        <w:pStyle w:val="ListParagraph"/>
        <w:numPr>
          <w:ilvl w:val="0"/>
          <w:numId w:val="2"/>
        </w:numPr>
        <w:ind w:left="720"/>
        <w:rPr>
          <w:rFonts w:cstheme="minorHAnsi"/>
          <w:sz w:val="24"/>
          <w:szCs w:val="24"/>
        </w:rPr>
      </w:pPr>
      <w:r>
        <w:rPr>
          <w:rFonts w:cstheme="minorHAnsi"/>
          <w:sz w:val="24"/>
          <w:szCs w:val="24"/>
        </w:rPr>
        <w:t>Narrative</w:t>
      </w:r>
    </w:p>
    <w:p w:rsidR="007233D6" w:rsidRPr="006D7D23" w:rsidRDefault="00D1627E" w:rsidP="007249A4">
      <w:pPr>
        <w:spacing w:line="240" w:lineRule="auto"/>
        <w:rPr>
          <w:rFonts w:eastAsia="Times New Roman" w:cstheme="minorHAnsi"/>
          <w:sz w:val="24"/>
          <w:szCs w:val="24"/>
        </w:rPr>
      </w:pPr>
      <w:r>
        <w:rPr>
          <w:rFonts w:eastAsia="Times New Roman" w:cstheme="minorHAnsi"/>
          <w:sz w:val="24"/>
          <w:szCs w:val="24"/>
        </w:rPr>
        <w:t>If a</w:t>
      </w:r>
      <w:r w:rsidR="00845C56">
        <w:rPr>
          <w:rFonts w:eastAsia="Times New Roman" w:cstheme="minorHAnsi"/>
          <w:sz w:val="24"/>
          <w:szCs w:val="24"/>
        </w:rPr>
        <w:t xml:space="preserve"> provider</w:t>
      </w:r>
      <w:r w:rsidR="007233D6" w:rsidRPr="006D7D23">
        <w:rPr>
          <w:rFonts w:eastAsia="Times New Roman" w:cstheme="minorHAnsi"/>
          <w:sz w:val="24"/>
          <w:szCs w:val="24"/>
        </w:rPr>
        <w:t xml:space="preserve"> does not utilize UPDRS, then submission of case data using </w:t>
      </w:r>
      <w:r w:rsidR="00971AFB">
        <w:rPr>
          <w:rFonts w:eastAsia="Times New Roman" w:cstheme="minorHAnsi"/>
          <w:sz w:val="24"/>
          <w:szCs w:val="24"/>
        </w:rPr>
        <w:t>the</w:t>
      </w:r>
      <w:r w:rsidR="007233D6" w:rsidRPr="006D7D23">
        <w:rPr>
          <w:rFonts w:eastAsia="Times New Roman" w:cstheme="minorHAnsi"/>
          <w:sz w:val="24"/>
          <w:szCs w:val="24"/>
        </w:rPr>
        <w:t xml:space="preserve"> narrative </w:t>
      </w:r>
      <w:r w:rsidR="00971AFB">
        <w:rPr>
          <w:rFonts w:eastAsia="Times New Roman" w:cstheme="minorHAnsi"/>
          <w:sz w:val="24"/>
          <w:szCs w:val="24"/>
        </w:rPr>
        <w:t xml:space="preserve">format </w:t>
      </w:r>
      <w:r>
        <w:rPr>
          <w:rFonts w:eastAsia="Times New Roman" w:cstheme="minorHAnsi"/>
          <w:sz w:val="24"/>
          <w:szCs w:val="24"/>
        </w:rPr>
        <w:t>is acceptable. However, if a</w:t>
      </w:r>
      <w:r w:rsidR="007233D6" w:rsidRPr="006D7D23">
        <w:rPr>
          <w:rFonts w:eastAsia="Times New Roman" w:cstheme="minorHAnsi"/>
          <w:sz w:val="24"/>
          <w:szCs w:val="24"/>
        </w:rPr>
        <w:t xml:space="preserve"> facility currently supports UPDRS, submissions utilizing UPDRS are supported.</w:t>
      </w:r>
    </w:p>
    <w:p w:rsidR="0027240E" w:rsidRPr="00D1627E" w:rsidRDefault="00DD3201" w:rsidP="00FC04CC">
      <w:pPr>
        <w:keepNext/>
        <w:rPr>
          <w:rFonts w:cstheme="minorHAnsi"/>
          <w:b/>
          <w:sz w:val="24"/>
          <w:szCs w:val="24"/>
        </w:rPr>
      </w:pPr>
      <w:r>
        <w:rPr>
          <w:rFonts w:cstheme="minorHAnsi"/>
          <w:b/>
          <w:sz w:val="24"/>
          <w:szCs w:val="24"/>
        </w:rPr>
        <w:t>4</w:t>
      </w:r>
      <w:r w:rsidR="00CA1067">
        <w:rPr>
          <w:rFonts w:cstheme="minorHAnsi"/>
          <w:b/>
          <w:sz w:val="24"/>
          <w:szCs w:val="24"/>
        </w:rPr>
        <w:t>.4</w:t>
      </w:r>
      <w:r w:rsidR="006159F9">
        <w:rPr>
          <w:rFonts w:cstheme="minorHAnsi"/>
          <w:b/>
          <w:sz w:val="24"/>
          <w:szCs w:val="24"/>
        </w:rPr>
        <w:t xml:space="preserve">. </w:t>
      </w:r>
      <w:r w:rsidR="0027240E" w:rsidRPr="00D1627E">
        <w:rPr>
          <w:rFonts w:cstheme="minorHAnsi"/>
          <w:b/>
          <w:sz w:val="24"/>
          <w:szCs w:val="24"/>
        </w:rPr>
        <w:t>Transmission Methods</w:t>
      </w:r>
      <w:r w:rsidR="00CD4F1F" w:rsidRPr="00D1627E">
        <w:rPr>
          <w:rFonts w:cstheme="minorHAnsi"/>
          <w:b/>
          <w:sz w:val="24"/>
          <w:szCs w:val="24"/>
        </w:rPr>
        <w:t xml:space="preserve"> </w:t>
      </w:r>
    </w:p>
    <w:p w:rsidR="00CD4F1F" w:rsidRDefault="007051A4" w:rsidP="0027240E">
      <w:pPr>
        <w:rPr>
          <w:rFonts w:cstheme="minorHAnsi"/>
          <w:sz w:val="24"/>
          <w:szCs w:val="24"/>
        </w:rPr>
      </w:pPr>
      <w:r>
        <w:rPr>
          <w:rFonts w:cstheme="minorHAnsi"/>
          <w:sz w:val="24"/>
          <w:szCs w:val="24"/>
        </w:rPr>
        <w:t>As previously noted</w:t>
      </w:r>
      <w:r w:rsidR="00845C56">
        <w:rPr>
          <w:rFonts w:cstheme="minorHAnsi"/>
          <w:sz w:val="24"/>
          <w:szCs w:val="24"/>
        </w:rPr>
        <w:t xml:space="preserve">, </w:t>
      </w:r>
      <w:r w:rsidR="00FC04CC">
        <w:rPr>
          <w:rFonts w:cstheme="minorHAnsi"/>
          <w:sz w:val="24"/>
          <w:szCs w:val="24"/>
        </w:rPr>
        <w:t>CPD</w:t>
      </w:r>
      <w:r w:rsidR="00CD4F1F" w:rsidRPr="006D7D23">
        <w:rPr>
          <w:rFonts w:cstheme="minorHAnsi"/>
          <w:sz w:val="24"/>
          <w:szCs w:val="24"/>
        </w:rPr>
        <w:t xml:space="preserve">R will accept electronic case reports through the two methods of transmission: </w:t>
      </w:r>
      <w:r w:rsidR="006859F9">
        <w:rPr>
          <w:rFonts w:cstheme="minorHAnsi"/>
          <w:sz w:val="24"/>
          <w:szCs w:val="24"/>
        </w:rPr>
        <w:t>manual data entry via Direct Data Entry Web Portal</w:t>
      </w:r>
      <w:r w:rsidR="00CD4F1F" w:rsidRPr="006D7D23">
        <w:rPr>
          <w:rFonts w:cstheme="minorHAnsi"/>
          <w:sz w:val="24"/>
          <w:szCs w:val="24"/>
        </w:rPr>
        <w:t xml:space="preserve"> or </w:t>
      </w:r>
      <w:r w:rsidR="00845C56">
        <w:rPr>
          <w:rFonts w:cstheme="minorHAnsi"/>
          <w:sz w:val="24"/>
          <w:szCs w:val="24"/>
        </w:rPr>
        <w:t xml:space="preserve">automated </w:t>
      </w:r>
      <w:r w:rsidR="00CD4F1F" w:rsidRPr="006D7D23">
        <w:rPr>
          <w:rFonts w:cstheme="minorHAnsi"/>
          <w:sz w:val="24"/>
          <w:szCs w:val="24"/>
        </w:rPr>
        <w:t>electronic transfer of case files.</w:t>
      </w:r>
      <w:r w:rsidR="00B1426F">
        <w:rPr>
          <w:rFonts w:cstheme="minorHAnsi"/>
          <w:sz w:val="24"/>
          <w:szCs w:val="24"/>
        </w:rPr>
        <w:t xml:space="preserve"> The following methods of transmission are supported for the </w:t>
      </w:r>
      <w:r w:rsidR="00845C56">
        <w:rPr>
          <w:rFonts w:cstheme="minorHAnsi"/>
          <w:sz w:val="24"/>
          <w:szCs w:val="24"/>
        </w:rPr>
        <w:t xml:space="preserve">automated </w:t>
      </w:r>
      <w:r w:rsidR="00B1426F">
        <w:rPr>
          <w:rFonts w:cstheme="minorHAnsi"/>
          <w:sz w:val="24"/>
          <w:szCs w:val="24"/>
        </w:rPr>
        <w:t>el</w:t>
      </w:r>
      <w:r w:rsidR="004F61F0">
        <w:rPr>
          <w:rFonts w:cstheme="minorHAnsi"/>
          <w:sz w:val="24"/>
          <w:szCs w:val="24"/>
        </w:rPr>
        <w:t>ectronic transfer of case files:</w:t>
      </w:r>
      <w:r w:rsidR="00B1426F">
        <w:rPr>
          <w:rFonts w:cstheme="minorHAnsi"/>
          <w:sz w:val="24"/>
          <w:szCs w:val="24"/>
        </w:rPr>
        <w:t xml:space="preserve"> </w:t>
      </w:r>
    </w:p>
    <w:p w:rsidR="0027240E" w:rsidRPr="007A1BC5" w:rsidRDefault="0027240E" w:rsidP="001845AD">
      <w:pPr>
        <w:pStyle w:val="ListParagraph"/>
        <w:keepNext/>
        <w:numPr>
          <w:ilvl w:val="0"/>
          <w:numId w:val="8"/>
        </w:numPr>
        <w:rPr>
          <w:rFonts w:cstheme="minorHAnsi"/>
          <w:sz w:val="24"/>
          <w:szCs w:val="24"/>
        </w:rPr>
      </w:pPr>
      <w:r w:rsidRPr="007A1BC5">
        <w:rPr>
          <w:rFonts w:cstheme="minorHAnsi"/>
          <w:sz w:val="24"/>
          <w:szCs w:val="24"/>
        </w:rPr>
        <w:t>Secure File Transfer Protocol (SFTP)</w:t>
      </w:r>
    </w:p>
    <w:p w:rsidR="0027240E" w:rsidRPr="007A1BC5" w:rsidRDefault="0027240E" w:rsidP="001845AD">
      <w:pPr>
        <w:pStyle w:val="ListParagraph"/>
        <w:numPr>
          <w:ilvl w:val="0"/>
          <w:numId w:val="8"/>
        </w:numPr>
        <w:rPr>
          <w:rFonts w:cstheme="minorHAnsi"/>
          <w:sz w:val="24"/>
          <w:szCs w:val="24"/>
        </w:rPr>
      </w:pPr>
      <w:r w:rsidRPr="007A1BC5">
        <w:rPr>
          <w:rFonts w:cstheme="minorHAnsi"/>
          <w:sz w:val="24"/>
          <w:szCs w:val="24"/>
        </w:rPr>
        <w:t>Web Services – Simple Object Access Protocol (SOAP</w:t>
      </w:r>
      <w:r w:rsidR="00575FBE" w:rsidRPr="007A1BC5">
        <w:rPr>
          <w:rFonts w:cstheme="minorHAnsi"/>
          <w:sz w:val="24"/>
          <w:szCs w:val="24"/>
        </w:rPr>
        <w:t xml:space="preserve"> 1.2</w:t>
      </w:r>
      <w:r w:rsidRPr="007A1BC5">
        <w:rPr>
          <w:rFonts w:cstheme="minorHAnsi"/>
          <w:sz w:val="24"/>
          <w:szCs w:val="24"/>
        </w:rPr>
        <w:t>)</w:t>
      </w:r>
    </w:p>
    <w:p w:rsidR="004F61F0" w:rsidRPr="006D7D23" w:rsidRDefault="004F61F0" w:rsidP="0027240E">
      <w:pPr>
        <w:rPr>
          <w:rFonts w:cstheme="minorHAnsi"/>
          <w:sz w:val="24"/>
          <w:szCs w:val="24"/>
        </w:rPr>
      </w:pPr>
    </w:p>
    <w:p w:rsidR="0027240E" w:rsidRPr="00D1627E" w:rsidRDefault="00DD3201" w:rsidP="0027240E">
      <w:pPr>
        <w:rPr>
          <w:rFonts w:cstheme="minorHAnsi"/>
          <w:b/>
          <w:sz w:val="24"/>
          <w:szCs w:val="24"/>
        </w:rPr>
      </w:pPr>
      <w:r>
        <w:rPr>
          <w:rFonts w:cstheme="minorHAnsi"/>
          <w:b/>
          <w:sz w:val="24"/>
          <w:szCs w:val="24"/>
        </w:rPr>
        <w:t>4</w:t>
      </w:r>
      <w:r w:rsidR="006159F9">
        <w:rPr>
          <w:rFonts w:cstheme="minorHAnsi"/>
          <w:b/>
          <w:sz w:val="24"/>
          <w:szCs w:val="24"/>
        </w:rPr>
        <w:t>.</w:t>
      </w:r>
      <w:r w:rsidR="004F61F0">
        <w:rPr>
          <w:rFonts w:cstheme="minorHAnsi"/>
          <w:b/>
          <w:sz w:val="24"/>
          <w:szCs w:val="24"/>
        </w:rPr>
        <w:t>5</w:t>
      </w:r>
      <w:r w:rsidR="006159F9">
        <w:rPr>
          <w:rFonts w:cstheme="minorHAnsi"/>
          <w:b/>
          <w:sz w:val="24"/>
          <w:szCs w:val="24"/>
        </w:rPr>
        <w:t xml:space="preserve">. </w:t>
      </w:r>
      <w:r w:rsidR="0027240E" w:rsidRPr="00D1627E">
        <w:rPr>
          <w:rFonts w:cstheme="minorHAnsi"/>
          <w:b/>
          <w:sz w:val="24"/>
          <w:szCs w:val="24"/>
        </w:rPr>
        <w:t>On-boarding</w:t>
      </w:r>
    </w:p>
    <w:p w:rsidR="0027240E" w:rsidRPr="006D7D23" w:rsidRDefault="00760CFC" w:rsidP="001A18A8">
      <w:pPr>
        <w:ind w:firstLine="720"/>
        <w:rPr>
          <w:rFonts w:cstheme="minorHAnsi"/>
          <w:b/>
          <w:sz w:val="24"/>
          <w:szCs w:val="24"/>
        </w:rPr>
      </w:pPr>
      <w:r>
        <w:rPr>
          <w:rFonts w:cstheme="minorHAnsi"/>
          <w:b/>
          <w:sz w:val="24"/>
          <w:szCs w:val="24"/>
        </w:rPr>
        <w:t xml:space="preserve">Provider </w:t>
      </w:r>
      <w:r w:rsidR="0027240E" w:rsidRPr="006D7D23">
        <w:rPr>
          <w:rFonts w:cstheme="minorHAnsi"/>
          <w:b/>
          <w:sz w:val="24"/>
          <w:szCs w:val="24"/>
        </w:rPr>
        <w:t>Registration</w:t>
      </w:r>
    </w:p>
    <w:p w:rsidR="00575FBE" w:rsidRDefault="00575FBE" w:rsidP="00327B93">
      <w:pPr>
        <w:rPr>
          <w:rFonts w:cstheme="minorHAnsi"/>
          <w:sz w:val="24"/>
          <w:szCs w:val="24"/>
        </w:rPr>
      </w:pPr>
      <w:r>
        <w:rPr>
          <w:rFonts w:cstheme="minorHAnsi"/>
          <w:sz w:val="24"/>
          <w:szCs w:val="24"/>
        </w:rPr>
        <w:t>For either method of reporting, providers</w:t>
      </w:r>
      <w:r w:rsidR="00327B93">
        <w:rPr>
          <w:rFonts w:cstheme="minorHAnsi"/>
          <w:sz w:val="24"/>
          <w:szCs w:val="24"/>
        </w:rPr>
        <w:t xml:space="preserve"> </w:t>
      </w:r>
      <w:r w:rsidR="00327B93" w:rsidRPr="006D7D23">
        <w:rPr>
          <w:rFonts w:cstheme="minorHAnsi"/>
          <w:sz w:val="24"/>
          <w:szCs w:val="24"/>
        </w:rPr>
        <w:t xml:space="preserve">will need to first establish their intent to </w:t>
      </w:r>
      <w:r w:rsidR="00327B93">
        <w:rPr>
          <w:rFonts w:cstheme="minorHAnsi"/>
          <w:sz w:val="24"/>
          <w:szCs w:val="24"/>
        </w:rPr>
        <w:t xml:space="preserve">report </w:t>
      </w:r>
      <w:r w:rsidR="00327B93" w:rsidRPr="006D7D23">
        <w:rPr>
          <w:rFonts w:cstheme="minorHAnsi"/>
          <w:sz w:val="24"/>
          <w:szCs w:val="24"/>
        </w:rPr>
        <w:t>by registering their</w:t>
      </w:r>
      <w:r w:rsidR="00327B93">
        <w:rPr>
          <w:rFonts w:cstheme="minorHAnsi"/>
          <w:sz w:val="24"/>
          <w:szCs w:val="24"/>
        </w:rPr>
        <w:t xml:space="preserve"> provider information on the CDPH</w:t>
      </w:r>
      <w:r w:rsidR="00327B93" w:rsidRPr="006D7D23">
        <w:rPr>
          <w:rFonts w:cstheme="minorHAnsi"/>
          <w:sz w:val="24"/>
          <w:szCs w:val="24"/>
        </w:rPr>
        <w:t xml:space="preserve"> H</w:t>
      </w:r>
      <w:r w:rsidR="00327B93">
        <w:rPr>
          <w:rFonts w:cstheme="minorHAnsi"/>
          <w:sz w:val="24"/>
          <w:szCs w:val="24"/>
        </w:rPr>
        <w:t>ealth Information Exchange (HIE)</w:t>
      </w:r>
      <w:r w:rsidR="00327B93" w:rsidRPr="006D7D23">
        <w:rPr>
          <w:rFonts w:cstheme="minorHAnsi"/>
          <w:sz w:val="24"/>
          <w:szCs w:val="24"/>
        </w:rPr>
        <w:t xml:space="preserve"> Gateway</w:t>
      </w:r>
      <w:r w:rsidR="00327B93">
        <w:rPr>
          <w:rFonts w:cstheme="minorHAnsi"/>
          <w:sz w:val="24"/>
          <w:szCs w:val="24"/>
        </w:rPr>
        <w:t>, beginning in June 2018 (</w:t>
      </w:r>
      <w:r w:rsidR="00327B93" w:rsidRPr="006859F9">
        <w:rPr>
          <w:rFonts w:cstheme="minorHAnsi"/>
          <w:sz w:val="24"/>
          <w:szCs w:val="24"/>
        </w:rPr>
        <w:t>https://hie.cdph.ca.gov/</w:t>
      </w:r>
      <w:r w:rsidR="00327B93">
        <w:rPr>
          <w:rFonts w:cstheme="minorHAnsi"/>
          <w:sz w:val="24"/>
          <w:szCs w:val="24"/>
        </w:rPr>
        <w:t>)</w:t>
      </w:r>
      <w:r w:rsidR="00327B93" w:rsidRPr="006D7D23">
        <w:rPr>
          <w:rFonts w:cstheme="minorHAnsi"/>
          <w:sz w:val="24"/>
          <w:szCs w:val="24"/>
        </w:rPr>
        <w:t xml:space="preserve">. </w:t>
      </w:r>
    </w:p>
    <w:p w:rsidR="00327B93" w:rsidRDefault="00575FBE" w:rsidP="00327B93">
      <w:pPr>
        <w:rPr>
          <w:rFonts w:cstheme="minorHAnsi"/>
          <w:sz w:val="24"/>
          <w:szCs w:val="24"/>
        </w:rPr>
      </w:pPr>
      <w:r>
        <w:rPr>
          <w:rFonts w:cstheme="minorHAnsi"/>
          <w:sz w:val="24"/>
          <w:szCs w:val="24"/>
        </w:rPr>
        <w:t xml:space="preserve">For manual data entry, </w:t>
      </w:r>
      <w:r w:rsidR="00327B93" w:rsidRPr="006D7D23">
        <w:rPr>
          <w:rFonts w:cstheme="minorHAnsi"/>
          <w:sz w:val="24"/>
          <w:szCs w:val="24"/>
        </w:rPr>
        <w:t>CPDR will be using the registration list to subsequently work with providers to establish an account on the Direct Data Entry Web Portal. The Direct Data Entry Web Portal will be a secured website conforming to state level security requirements for the data entry of confidential patient information to CPDR.</w:t>
      </w:r>
    </w:p>
    <w:p w:rsidR="0027240E" w:rsidRDefault="00575FBE" w:rsidP="0027240E">
      <w:pPr>
        <w:rPr>
          <w:rFonts w:cstheme="minorHAnsi"/>
          <w:sz w:val="24"/>
          <w:szCs w:val="24"/>
        </w:rPr>
      </w:pPr>
      <w:r>
        <w:rPr>
          <w:rFonts w:cstheme="minorHAnsi"/>
          <w:sz w:val="24"/>
          <w:szCs w:val="24"/>
        </w:rPr>
        <w:t xml:space="preserve">Upon successful registration for the automated process, </w:t>
      </w:r>
      <w:r w:rsidR="007A1BC5">
        <w:rPr>
          <w:rFonts w:cstheme="minorHAnsi"/>
          <w:sz w:val="24"/>
          <w:szCs w:val="24"/>
        </w:rPr>
        <w:t xml:space="preserve">SFTP login information and/or a SOAP 1.2 web interface implementation guide will be provided. </w:t>
      </w:r>
      <w:r w:rsidR="0027240E" w:rsidRPr="006D7D23">
        <w:rPr>
          <w:rFonts w:cstheme="minorHAnsi"/>
          <w:sz w:val="24"/>
          <w:szCs w:val="24"/>
        </w:rPr>
        <w:t xml:space="preserve">If </w:t>
      </w:r>
      <w:r w:rsidR="00760CFC">
        <w:rPr>
          <w:rFonts w:cstheme="minorHAnsi"/>
          <w:sz w:val="24"/>
          <w:szCs w:val="24"/>
        </w:rPr>
        <w:t>provi</w:t>
      </w:r>
      <w:r w:rsidR="00D1627E">
        <w:rPr>
          <w:rFonts w:cstheme="minorHAnsi"/>
          <w:sz w:val="24"/>
          <w:szCs w:val="24"/>
        </w:rPr>
        <w:t>d</w:t>
      </w:r>
      <w:r w:rsidR="00760CFC">
        <w:rPr>
          <w:rFonts w:cstheme="minorHAnsi"/>
          <w:sz w:val="24"/>
          <w:szCs w:val="24"/>
        </w:rPr>
        <w:t>ers</w:t>
      </w:r>
      <w:r w:rsidR="0027240E" w:rsidRPr="006D7D23">
        <w:rPr>
          <w:rFonts w:cstheme="minorHAnsi"/>
          <w:sz w:val="24"/>
          <w:szCs w:val="24"/>
        </w:rPr>
        <w:t xml:space="preserve"> would like to work with CPDR on configuration for reporting prior to </w:t>
      </w:r>
      <w:r w:rsidR="00AE5C7D" w:rsidRPr="006D7D23">
        <w:rPr>
          <w:rFonts w:cstheme="minorHAnsi"/>
          <w:sz w:val="24"/>
          <w:szCs w:val="24"/>
        </w:rPr>
        <w:t xml:space="preserve">availability of the </w:t>
      </w:r>
      <w:r w:rsidR="0027240E" w:rsidRPr="006D7D23">
        <w:rPr>
          <w:rFonts w:cstheme="minorHAnsi"/>
          <w:sz w:val="24"/>
          <w:szCs w:val="24"/>
        </w:rPr>
        <w:t xml:space="preserve">registration </w:t>
      </w:r>
      <w:r w:rsidR="00AE5C7D" w:rsidRPr="006D7D23">
        <w:rPr>
          <w:rFonts w:cstheme="minorHAnsi"/>
          <w:sz w:val="24"/>
          <w:szCs w:val="24"/>
        </w:rPr>
        <w:t xml:space="preserve">portal, please contact </w:t>
      </w:r>
      <w:r w:rsidR="0027240E" w:rsidRPr="006D7D23">
        <w:rPr>
          <w:rFonts w:cstheme="minorHAnsi"/>
          <w:sz w:val="24"/>
          <w:szCs w:val="24"/>
        </w:rPr>
        <w:t>C</w:t>
      </w:r>
      <w:r w:rsidR="00FC04CC">
        <w:rPr>
          <w:rFonts w:cstheme="minorHAnsi"/>
          <w:sz w:val="24"/>
          <w:szCs w:val="24"/>
        </w:rPr>
        <w:t>PD</w:t>
      </w:r>
      <w:r w:rsidR="0027240E" w:rsidRPr="006D7D23">
        <w:rPr>
          <w:rFonts w:cstheme="minorHAnsi"/>
          <w:sz w:val="24"/>
          <w:szCs w:val="24"/>
        </w:rPr>
        <w:t xml:space="preserve">R at </w:t>
      </w:r>
      <w:hyperlink r:id="rId14" w:history="1">
        <w:r w:rsidR="00AE5C7D" w:rsidRPr="006D7D23">
          <w:rPr>
            <w:rStyle w:val="Hyperlink"/>
            <w:rFonts w:cstheme="minorHAnsi"/>
            <w:sz w:val="24"/>
            <w:szCs w:val="24"/>
          </w:rPr>
          <w:t>CPDRhelp@cdph.ca.gov</w:t>
        </w:r>
      </w:hyperlink>
      <w:r w:rsidR="0027240E" w:rsidRPr="006D7D23">
        <w:rPr>
          <w:rFonts w:cstheme="minorHAnsi"/>
          <w:sz w:val="24"/>
          <w:szCs w:val="24"/>
        </w:rPr>
        <w:t>.</w:t>
      </w:r>
    </w:p>
    <w:p w:rsidR="00327B93" w:rsidRPr="006D7D23" w:rsidRDefault="00327B93" w:rsidP="0027240E">
      <w:pPr>
        <w:rPr>
          <w:rFonts w:cstheme="minorHAnsi"/>
          <w:sz w:val="24"/>
          <w:szCs w:val="24"/>
        </w:rPr>
      </w:pPr>
    </w:p>
    <w:p w:rsidR="0027240E" w:rsidRDefault="00971AFB" w:rsidP="006159F9">
      <w:pPr>
        <w:ind w:firstLine="720"/>
        <w:rPr>
          <w:rFonts w:cstheme="minorHAnsi"/>
          <w:b/>
          <w:sz w:val="24"/>
          <w:szCs w:val="24"/>
        </w:rPr>
      </w:pPr>
      <w:r w:rsidRPr="00D1627E">
        <w:rPr>
          <w:rFonts w:cstheme="minorHAnsi"/>
          <w:b/>
          <w:sz w:val="24"/>
          <w:szCs w:val="24"/>
        </w:rPr>
        <w:t>Data Submi</w:t>
      </w:r>
      <w:r w:rsidR="00BC5E1A" w:rsidRPr="00D1627E">
        <w:rPr>
          <w:rFonts w:cstheme="minorHAnsi"/>
          <w:b/>
          <w:sz w:val="24"/>
          <w:szCs w:val="24"/>
        </w:rPr>
        <w:t>s</w:t>
      </w:r>
      <w:r w:rsidRPr="00D1627E">
        <w:rPr>
          <w:rFonts w:cstheme="minorHAnsi"/>
          <w:b/>
          <w:sz w:val="24"/>
          <w:szCs w:val="24"/>
        </w:rPr>
        <w:t>sion Testing/</w:t>
      </w:r>
      <w:r w:rsidR="0027240E" w:rsidRPr="00D1627E">
        <w:rPr>
          <w:rFonts w:cstheme="minorHAnsi"/>
          <w:b/>
          <w:sz w:val="24"/>
          <w:szCs w:val="24"/>
        </w:rPr>
        <w:t>Validation</w:t>
      </w:r>
      <w:r w:rsidR="00AE5C7D" w:rsidRPr="00D1627E">
        <w:rPr>
          <w:rFonts w:cstheme="minorHAnsi"/>
          <w:b/>
          <w:sz w:val="24"/>
          <w:szCs w:val="24"/>
        </w:rPr>
        <w:t xml:space="preserve"> </w:t>
      </w:r>
    </w:p>
    <w:p w:rsidR="00BD53DA" w:rsidRDefault="00BD53DA" w:rsidP="00BD53DA">
      <w:pPr>
        <w:rPr>
          <w:rFonts w:cstheme="minorHAnsi"/>
          <w:sz w:val="24"/>
          <w:szCs w:val="24"/>
        </w:rPr>
      </w:pPr>
      <w:r>
        <w:rPr>
          <w:rFonts w:cstheme="minorHAnsi"/>
          <w:sz w:val="24"/>
          <w:szCs w:val="24"/>
        </w:rPr>
        <w:t>Providers pursuing the electronic interface for rep</w:t>
      </w:r>
      <w:r w:rsidR="001845AD">
        <w:rPr>
          <w:rFonts w:cstheme="minorHAnsi"/>
          <w:sz w:val="24"/>
          <w:szCs w:val="24"/>
        </w:rPr>
        <w:t>orting will be working with CPDR</w:t>
      </w:r>
      <w:r>
        <w:rPr>
          <w:rFonts w:cstheme="minorHAnsi"/>
          <w:sz w:val="24"/>
          <w:szCs w:val="24"/>
        </w:rPr>
        <w:t xml:space="preserve"> in a data submission testing and validation phase to initiate connectivity, validate message structure, validate content</w:t>
      </w:r>
      <w:r w:rsidR="00760CFC">
        <w:rPr>
          <w:rFonts w:cstheme="minorHAnsi"/>
          <w:sz w:val="24"/>
          <w:szCs w:val="24"/>
        </w:rPr>
        <w:t>,</w:t>
      </w:r>
      <w:r>
        <w:rPr>
          <w:rFonts w:cstheme="minorHAnsi"/>
          <w:sz w:val="24"/>
          <w:szCs w:val="24"/>
        </w:rPr>
        <w:t xml:space="preserve"> and </w:t>
      </w:r>
      <w:r w:rsidR="00760CFC">
        <w:rPr>
          <w:rFonts w:cstheme="minorHAnsi"/>
          <w:sz w:val="24"/>
          <w:szCs w:val="24"/>
        </w:rPr>
        <w:t xml:space="preserve">perform </w:t>
      </w:r>
      <w:r>
        <w:rPr>
          <w:rFonts w:cstheme="minorHAnsi"/>
          <w:sz w:val="24"/>
          <w:szCs w:val="24"/>
        </w:rPr>
        <w:t xml:space="preserve">user acceptance </w:t>
      </w:r>
      <w:r w:rsidRPr="00880043">
        <w:rPr>
          <w:rFonts w:cstheme="minorHAnsi"/>
          <w:sz w:val="24"/>
          <w:szCs w:val="24"/>
        </w:rPr>
        <w:t>testing</w:t>
      </w:r>
      <w:r w:rsidR="00760CFC" w:rsidRPr="00880043">
        <w:rPr>
          <w:rFonts w:cstheme="minorHAnsi"/>
          <w:sz w:val="24"/>
          <w:szCs w:val="24"/>
        </w:rPr>
        <w:t>.</w:t>
      </w:r>
      <w:r w:rsidRPr="00880043">
        <w:rPr>
          <w:rFonts w:cstheme="minorHAnsi"/>
          <w:sz w:val="24"/>
          <w:szCs w:val="24"/>
        </w:rPr>
        <w:t xml:space="preserve"> </w:t>
      </w:r>
      <w:r w:rsidR="00880043" w:rsidRPr="00880043">
        <w:rPr>
          <w:rFonts w:cstheme="minorHAnsi"/>
          <w:sz w:val="24"/>
          <w:szCs w:val="24"/>
        </w:rPr>
        <w:t>Upon validation, data submission will transition to production reporting.</w:t>
      </w:r>
    </w:p>
    <w:p w:rsidR="00BD53DA" w:rsidRDefault="00880043">
      <w:pPr>
        <w:rPr>
          <w:rFonts w:cstheme="minorHAnsi"/>
          <w:sz w:val="24"/>
          <w:szCs w:val="24"/>
        </w:rPr>
      </w:pPr>
      <w:r>
        <w:rPr>
          <w:rFonts w:cstheme="minorHAnsi"/>
          <w:sz w:val="24"/>
          <w:szCs w:val="24"/>
        </w:rPr>
        <w:t>Step 1.</w:t>
      </w:r>
      <w:r w:rsidR="00BD53DA">
        <w:rPr>
          <w:rFonts w:cstheme="minorHAnsi"/>
          <w:sz w:val="24"/>
          <w:szCs w:val="24"/>
        </w:rPr>
        <w:t xml:space="preserve"> Initiate Connectivity</w:t>
      </w:r>
    </w:p>
    <w:p w:rsidR="00BD53DA" w:rsidRPr="00D1627E" w:rsidRDefault="001845AD" w:rsidP="001845AD">
      <w:pPr>
        <w:pStyle w:val="ListParagraph"/>
        <w:numPr>
          <w:ilvl w:val="0"/>
          <w:numId w:val="6"/>
        </w:numPr>
        <w:rPr>
          <w:rFonts w:cstheme="minorHAnsi"/>
          <w:sz w:val="24"/>
          <w:szCs w:val="24"/>
        </w:rPr>
      </w:pPr>
      <w:r>
        <w:rPr>
          <w:rFonts w:cstheme="minorHAnsi"/>
          <w:sz w:val="24"/>
          <w:szCs w:val="24"/>
        </w:rPr>
        <w:t>Work with CPDR</w:t>
      </w:r>
      <w:r w:rsidR="00BD53DA" w:rsidRPr="00D1627E">
        <w:rPr>
          <w:rFonts w:cstheme="minorHAnsi"/>
          <w:sz w:val="24"/>
          <w:szCs w:val="24"/>
        </w:rPr>
        <w:t xml:space="preserve"> staff to e</w:t>
      </w:r>
      <w:r w:rsidR="00DD3201">
        <w:rPr>
          <w:rFonts w:cstheme="minorHAnsi"/>
          <w:sz w:val="24"/>
          <w:szCs w:val="24"/>
        </w:rPr>
        <w:t>stablish connectivity using SOAP</w:t>
      </w:r>
      <w:r w:rsidR="00BD53DA" w:rsidRPr="00D1627E">
        <w:rPr>
          <w:rFonts w:cstheme="minorHAnsi"/>
          <w:sz w:val="24"/>
          <w:szCs w:val="24"/>
        </w:rPr>
        <w:t xml:space="preserve"> transport method.</w:t>
      </w:r>
    </w:p>
    <w:p w:rsidR="00BD53DA" w:rsidRDefault="00C15AAB" w:rsidP="003B7631">
      <w:pPr>
        <w:keepNext/>
        <w:rPr>
          <w:rFonts w:cstheme="minorHAnsi"/>
          <w:sz w:val="24"/>
          <w:szCs w:val="24"/>
        </w:rPr>
      </w:pPr>
      <w:r>
        <w:rPr>
          <w:rFonts w:cstheme="minorHAnsi"/>
          <w:sz w:val="24"/>
          <w:szCs w:val="24"/>
        </w:rPr>
        <w:t>Step 2</w:t>
      </w:r>
      <w:r w:rsidR="00BD53DA">
        <w:rPr>
          <w:rFonts w:cstheme="minorHAnsi"/>
          <w:sz w:val="24"/>
          <w:szCs w:val="24"/>
        </w:rPr>
        <w:t xml:space="preserve">. Validate Message Structure: </w:t>
      </w:r>
    </w:p>
    <w:p w:rsidR="00BD53DA" w:rsidRDefault="00BD53DA" w:rsidP="003B7631">
      <w:pPr>
        <w:pStyle w:val="ListParagraph"/>
        <w:numPr>
          <w:ilvl w:val="0"/>
          <w:numId w:val="6"/>
        </w:numPr>
        <w:rPr>
          <w:rFonts w:cstheme="minorHAnsi"/>
          <w:sz w:val="24"/>
          <w:szCs w:val="24"/>
        </w:rPr>
      </w:pPr>
      <w:r w:rsidRPr="00D1627E">
        <w:rPr>
          <w:rFonts w:cstheme="minorHAnsi"/>
          <w:sz w:val="24"/>
          <w:szCs w:val="24"/>
        </w:rPr>
        <w:t>Construct logical filters to ensure that only reportable Parkinson’</w:t>
      </w:r>
      <w:r w:rsidR="001845AD">
        <w:rPr>
          <w:rFonts w:cstheme="minorHAnsi"/>
          <w:sz w:val="24"/>
          <w:szCs w:val="24"/>
        </w:rPr>
        <w:t>s disease cases are sent to CPDR</w:t>
      </w:r>
      <w:r w:rsidRPr="00D1627E">
        <w:rPr>
          <w:rFonts w:cstheme="minorHAnsi"/>
          <w:sz w:val="24"/>
          <w:szCs w:val="24"/>
        </w:rPr>
        <w:t xml:space="preserve">. </w:t>
      </w:r>
    </w:p>
    <w:p w:rsidR="00BD53DA" w:rsidRDefault="00BD53DA" w:rsidP="003B7631">
      <w:pPr>
        <w:pStyle w:val="ListParagraph"/>
        <w:numPr>
          <w:ilvl w:val="0"/>
          <w:numId w:val="6"/>
        </w:numPr>
        <w:rPr>
          <w:rFonts w:cstheme="minorHAnsi"/>
          <w:sz w:val="24"/>
          <w:szCs w:val="24"/>
        </w:rPr>
      </w:pPr>
      <w:r w:rsidRPr="00D1627E">
        <w:rPr>
          <w:rFonts w:cstheme="minorHAnsi"/>
          <w:sz w:val="24"/>
          <w:szCs w:val="24"/>
        </w:rPr>
        <w:t xml:space="preserve">Ensure that the information system produces </w:t>
      </w:r>
      <w:r>
        <w:rPr>
          <w:rFonts w:cstheme="minorHAnsi"/>
          <w:sz w:val="24"/>
          <w:szCs w:val="24"/>
        </w:rPr>
        <w:t>a message compliant with CPDR HL7</w:t>
      </w:r>
      <w:r w:rsidRPr="00D1627E">
        <w:rPr>
          <w:rFonts w:cstheme="minorHAnsi"/>
          <w:sz w:val="24"/>
          <w:szCs w:val="24"/>
        </w:rPr>
        <w:t xml:space="preserve"> version 2.5.1</w:t>
      </w:r>
      <w:r w:rsidR="00D1627E">
        <w:rPr>
          <w:rFonts w:cstheme="minorHAnsi"/>
          <w:sz w:val="24"/>
          <w:szCs w:val="24"/>
        </w:rPr>
        <w:t>.</w:t>
      </w:r>
      <w:r w:rsidRPr="00D1627E">
        <w:rPr>
          <w:rFonts w:cstheme="minorHAnsi"/>
          <w:sz w:val="24"/>
          <w:szCs w:val="24"/>
        </w:rPr>
        <w:t xml:space="preserve"> </w:t>
      </w:r>
    </w:p>
    <w:p w:rsidR="00BD53DA" w:rsidRPr="00D1627E" w:rsidRDefault="00BD53DA" w:rsidP="003B7631">
      <w:pPr>
        <w:pStyle w:val="ListParagraph"/>
        <w:numPr>
          <w:ilvl w:val="0"/>
          <w:numId w:val="6"/>
        </w:numPr>
        <w:rPr>
          <w:rFonts w:cstheme="minorHAnsi"/>
          <w:sz w:val="24"/>
          <w:szCs w:val="24"/>
        </w:rPr>
      </w:pPr>
      <w:r w:rsidRPr="00D1627E">
        <w:rPr>
          <w:rFonts w:cstheme="minorHAnsi"/>
          <w:sz w:val="24"/>
          <w:szCs w:val="24"/>
        </w:rPr>
        <w:t>Perform structural testing for messages without Protected Health Information (PHI) using the developer tool: web validator.</w:t>
      </w:r>
    </w:p>
    <w:p w:rsidR="00BD53DA" w:rsidRPr="00D1627E" w:rsidRDefault="00C15AAB" w:rsidP="00DD3201">
      <w:pPr>
        <w:keepNext/>
        <w:rPr>
          <w:rFonts w:cstheme="minorHAnsi"/>
          <w:sz w:val="24"/>
          <w:szCs w:val="24"/>
        </w:rPr>
      </w:pPr>
      <w:r>
        <w:rPr>
          <w:rFonts w:cstheme="minorHAnsi"/>
          <w:sz w:val="24"/>
          <w:szCs w:val="24"/>
        </w:rPr>
        <w:t>Step 3</w:t>
      </w:r>
      <w:r w:rsidR="00BD53DA">
        <w:rPr>
          <w:rFonts w:cstheme="minorHAnsi"/>
          <w:sz w:val="24"/>
          <w:szCs w:val="24"/>
        </w:rPr>
        <w:t>. Validate Content and Acceptance Testing</w:t>
      </w:r>
      <w:r w:rsidR="00BD53DA" w:rsidRPr="00D1627E">
        <w:rPr>
          <w:rFonts w:cstheme="minorHAnsi"/>
          <w:sz w:val="24"/>
          <w:szCs w:val="24"/>
        </w:rPr>
        <w:t xml:space="preserve">: </w:t>
      </w:r>
    </w:p>
    <w:p w:rsidR="00BD53DA" w:rsidRPr="00D1627E" w:rsidRDefault="001845AD" w:rsidP="003B7631">
      <w:pPr>
        <w:pStyle w:val="ListParagraph"/>
        <w:numPr>
          <w:ilvl w:val="0"/>
          <w:numId w:val="7"/>
        </w:numPr>
        <w:rPr>
          <w:rFonts w:cstheme="minorHAnsi"/>
          <w:sz w:val="24"/>
          <w:szCs w:val="24"/>
        </w:rPr>
      </w:pPr>
      <w:r>
        <w:rPr>
          <w:rFonts w:cstheme="minorHAnsi"/>
          <w:sz w:val="24"/>
          <w:szCs w:val="24"/>
        </w:rPr>
        <w:t>Work with CPDR</w:t>
      </w:r>
      <w:r w:rsidR="00BD53DA" w:rsidRPr="00D1627E">
        <w:rPr>
          <w:rFonts w:cstheme="minorHAnsi"/>
          <w:sz w:val="24"/>
          <w:szCs w:val="24"/>
        </w:rPr>
        <w:t xml:space="preserve"> staff to ensure that message content </w:t>
      </w:r>
      <w:r w:rsidR="00BD53DA">
        <w:rPr>
          <w:rFonts w:cstheme="minorHAnsi"/>
          <w:sz w:val="24"/>
          <w:szCs w:val="24"/>
        </w:rPr>
        <w:t xml:space="preserve">is valid </w:t>
      </w:r>
      <w:r w:rsidR="00BD53DA" w:rsidRPr="00D1627E">
        <w:rPr>
          <w:rFonts w:cstheme="minorHAnsi"/>
          <w:sz w:val="24"/>
          <w:szCs w:val="24"/>
        </w:rPr>
        <w:t xml:space="preserve">and logical filters are properly formatted to </w:t>
      </w:r>
      <w:r w:rsidR="00BD53DA">
        <w:rPr>
          <w:rFonts w:cstheme="minorHAnsi"/>
          <w:sz w:val="24"/>
          <w:szCs w:val="24"/>
        </w:rPr>
        <w:t>send complete reportable cases</w:t>
      </w:r>
      <w:r w:rsidR="00BD53DA" w:rsidRPr="00D1627E">
        <w:rPr>
          <w:rFonts w:cstheme="minorHAnsi"/>
          <w:sz w:val="24"/>
          <w:szCs w:val="24"/>
        </w:rPr>
        <w:t xml:space="preserve">. </w:t>
      </w:r>
    </w:p>
    <w:p w:rsidR="00BD53DA" w:rsidRPr="00D1627E" w:rsidRDefault="00C15AAB" w:rsidP="001E45FC">
      <w:pPr>
        <w:keepNext/>
        <w:rPr>
          <w:rFonts w:cstheme="minorHAnsi"/>
          <w:sz w:val="24"/>
          <w:szCs w:val="24"/>
        </w:rPr>
      </w:pPr>
      <w:r>
        <w:rPr>
          <w:rFonts w:cstheme="minorHAnsi"/>
          <w:sz w:val="24"/>
          <w:szCs w:val="24"/>
        </w:rPr>
        <w:t>Step 4</w:t>
      </w:r>
      <w:r w:rsidR="00BD53DA" w:rsidRPr="00D1627E">
        <w:rPr>
          <w:rFonts w:cstheme="minorHAnsi"/>
          <w:sz w:val="24"/>
          <w:szCs w:val="24"/>
        </w:rPr>
        <w:t>. Transition to Production:</w:t>
      </w:r>
    </w:p>
    <w:p w:rsidR="00BD53DA" w:rsidRPr="00D1627E" w:rsidRDefault="00BD53DA" w:rsidP="00A53E85">
      <w:pPr>
        <w:pStyle w:val="ListParagraph"/>
        <w:numPr>
          <w:ilvl w:val="0"/>
          <w:numId w:val="7"/>
        </w:numPr>
        <w:tabs>
          <w:tab w:val="left" w:pos="7920"/>
        </w:tabs>
        <w:rPr>
          <w:rFonts w:cstheme="minorHAnsi"/>
          <w:sz w:val="24"/>
          <w:szCs w:val="24"/>
        </w:rPr>
      </w:pPr>
      <w:r w:rsidRPr="00D1627E">
        <w:rPr>
          <w:rFonts w:cstheme="minorHAnsi"/>
          <w:sz w:val="24"/>
          <w:szCs w:val="24"/>
        </w:rPr>
        <w:t>Upon successful U</w:t>
      </w:r>
      <w:r w:rsidR="007051A4">
        <w:rPr>
          <w:rFonts w:cstheme="minorHAnsi"/>
          <w:sz w:val="24"/>
          <w:szCs w:val="24"/>
        </w:rPr>
        <w:t xml:space="preserve">ser </w:t>
      </w:r>
      <w:r w:rsidRPr="00D1627E">
        <w:rPr>
          <w:rFonts w:cstheme="minorHAnsi"/>
          <w:sz w:val="24"/>
          <w:szCs w:val="24"/>
        </w:rPr>
        <w:t>A</w:t>
      </w:r>
      <w:r w:rsidR="007051A4">
        <w:rPr>
          <w:rFonts w:cstheme="minorHAnsi"/>
          <w:sz w:val="24"/>
          <w:szCs w:val="24"/>
        </w:rPr>
        <w:t xml:space="preserve">cceptance </w:t>
      </w:r>
      <w:r w:rsidRPr="00D1627E">
        <w:rPr>
          <w:rFonts w:cstheme="minorHAnsi"/>
          <w:sz w:val="24"/>
          <w:szCs w:val="24"/>
        </w:rPr>
        <w:t>T</w:t>
      </w:r>
      <w:r w:rsidR="007051A4">
        <w:rPr>
          <w:rFonts w:cstheme="minorHAnsi"/>
          <w:sz w:val="24"/>
          <w:szCs w:val="24"/>
        </w:rPr>
        <w:t>esting (UAT)</w:t>
      </w:r>
      <w:r w:rsidRPr="00D1627E">
        <w:rPr>
          <w:rFonts w:cstheme="minorHAnsi"/>
          <w:sz w:val="24"/>
          <w:szCs w:val="24"/>
        </w:rPr>
        <w:t xml:space="preserve">, </w:t>
      </w:r>
      <w:r w:rsidR="007051A4">
        <w:rPr>
          <w:rFonts w:cstheme="minorHAnsi"/>
          <w:sz w:val="24"/>
          <w:szCs w:val="24"/>
        </w:rPr>
        <w:t xml:space="preserve">a submitter’s CPDR feed </w:t>
      </w:r>
      <w:r w:rsidR="001845AD">
        <w:rPr>
          <w:rFonts w:cstheme="minorHAnsi"/>
          <w:sz w:val="24"/>
          <w:szCs w:val="24"/>
        </w:rPr>
        <w:t xml:space="preserve">will transition </w:t>
      </w:r>
      <w:r w:rsidR="007051A4">
        <w:rPr>
          <w:rFonts w:cstheme="minorHAnsi"/>
          <w:sz w:val="24"/>
          <w:szCs w:val="24"/>
        </w:rPr>
        <w:t>to p</w:t>
      </w:r>
      <w:r w:rsidRPr="00D1627E">
        <w:rPr>
          <w:rFonts w:cstheme="minorHAnsi"/>
          <w:sz w:val="24"/>
          <w:szCs w:val="24"/>
        </w:rPr>
        <w:t>roduction</w:t>
      </w:r>
      <w:r w:rsidR="007051A4">
        <w:rPr>
          <w:rFonts w:cstheme="minorHAnsi"/>
          <w:sz w:val="24"/>
          <w:szCs w:val="24"/>
        </w:rPr>
        <w:t xml:space="preserve"> reporting</w:t>
      </w:r>
      <w:r w:rsidRPr="00D1627E">
        <w:rPr>
          <w:rFonts w:cstheme="minorHAnsi"/>
          <w:sz w:val="24"/>
          <w:szCs w:val="24"/>
        </w:rPr>
        <w:t xml:space="preserve">. This marks the transition to </w:t>
      </w:r>
      <w:r w:rsidR="007051A4">
        <w:rPr>
          <w:rFonts w:cstheme="minorHAnsi"/>
          <w:sz w:val="24"/>
          <w:szCs w:val="24"/>
        </w:rPr>
        <w:t xml:space="preserve">CDPH and </w:t>
      </w:r>
      <w:r w:rsidRPr="00D1627E">
        <w:rPr>
          <w:rFonts w:cstheme="minorHAnsi"/>
          <w:sz w:val="24"/>
          <w:szCs w:val="24"/>
        </w:rPr>
        <w:t>CPDR ongoing support.</w:t>
      </w:r>
    </w:p>
    <w:p w:rsidR="00BD53DA" w:rsidRDefault="00BD53DA" w:rsidP="00BD53DA">
      <w:pPr>
        <w:rPr>
          <w:rFonts w:cstheme="minorHAnsi"/>
          <w:sz w:val="24"/>
          <w:szCs w:val="24"/>
        </w:rPr>
      </w:pPr>
      <w:r w:rsidRPr="00D1627E">
        <w:rPr>
          <w:rFonts w:cstheme="minorHAnsi"/>
          <w:sz w:val="24"/>
          <w:szCs w:val="24"/>
        </w:rPr>
        <w:t xml:space="preserve">Following the successful completion of the testing and validation phase, providers will be required to consistently submit production data. </w:t>
      </w:r>
    </w:p>
    <w:p w:rsidR="00C15AAB" w:rsidRPr="00D1627E" w:rsidRDefault="00C15AAB" w:rsidP="00BD53DA">
      <w:pPr>
        <w:rPr>
          <w:rFonts w:cstheme="minorHAnsi"/>
          <w:sz w:val="24"/>
          <w:szCs w:val="24"/>
        </w:rPr>
      </w:pPr>
    </w:p>
    <w:p w:rsidR="00354F20" w:rsidRPr="00A70CCF" w:rsidRDefault="00CA1067" w:rsidP="0027240E">
      <w:pPr>
        <w:rPr>
          <w:rFonts w:cstheme="minorHAnsi"/>
          <w:b/>
          <w:sz w:val="28"/>
          <w:szCs w:val="28"/>
        </w:rPr>
      </w:pPr>
      <w:r>
        <w:rPr>
          <w:rFonts w:cstheme="minorHAnsi"/>
          <w:b/>
          <w:sz w:val="28"/>
          <w:szCs w:val="28"/>
        </w:rPr>
        <w:t>5</w:t>
      </w:r>
      <w:r w:rsidR="001A18A8" w:rsidRPr="00A70CCF">
        <w:rPr>
          <w:rFonts w:cstheme="minorHAnsi"/>
          <w:b/>
          <w:sz w:val="28"/>
          <w:szCs w:val="28"/>
        </w:rPr>
        <w:t xml:space="preserve">. </w:t>
      </w:r>
      <w:r w:rsidR="0027240E" w:rsidRPr="00A70CCF">
        <w:rPr>
          <w:rFonts w:cstheme="minorHAnsi"/>
          <w:b/>
          <w:sz w:val="28"/>
          <w:szCs w:val="28"/>
        </w:rPr>
        <w:t xml:space="preserve">Ongoing </w:t>
      </w:r>
      <w:r w:rsidR="00B53792" w:rsidRPr="00A70CCF">
        <w:rPr>
          <w:rFonts w:cstheme="minorHAnsi"/>
          <w:b/>
          <w:sz w:val="28"/>
          <w:szCs w:val="28"/>
        </w:rPr>
        <w:t xml:space="preserve">Data </w:t>
      </w:r>
      <w:r w:rsidR="000D34FF" w:rsidRPr="00A70CCF">
        <w:rPr>
          <w:rFonts w:cstheme="minorHAnsi"/>
          <w:b/>
          <w:sz w:val="28"/>
          <w:szCs w:val="28"/>
        </w:rPr>
        <w:t>Evaluation Plan</w:t>
      </w:r>
    </w:p>
    <w:p w:rsidR="00B53792" w:rsidRDefault="00F558F4" w:rsidP="0027240E">
      <w:pPr>
        <w:rPr>
          <w:rFonts w:cstheme="minorHAnsi"/>
          <w:sz w:val="24"/>
          <w:szCs w:val="24"/>
        </w:rPr>
      </w:pPr>
      <w:r>
        <w:rPr>
          <w:rFonts w:cstheme="minorHAnsi"/>
          <w:sz w:val="24"/>
          <w:szCs w:val="24"/>
        </w:rPr>
        <w:t>After passing validation, d</w:t>
      </w:r>
      <w:r w:rsidR="00EF4F47">
        <w:rPr>
          <w:rFonts w:cstheme="minorHAnsi"/>
          <w:sz w:val="24"/>
          <w:szCs w:val="24"/>
        </w:rPr>
        <w:t xml:space="preserve">ata quality will </w:t>
      </w:r>
      <w:r>
        <w:rPr>
          <w:rFonts w:cstheme="minorHAnsi"/>
          <w:sz w:val="24"/>
          <w:szCs w:val="24"/>
        </w:rPr>
        <w:t xml:space="preserve">continue to </w:t>
      </w:r>
      <w:r w:rsidR="001845AD">
        <w:rPr>
          <w:rFonts w:cstheme="minorHAnsi"/>
          <w:sz w:val="24"/>
          <w:szCs w:val="24"/>
        </w:rPr>
        <w:t>be monitored by CPDR</w:t>
      </w:r>
      <w:r w:rsidR="00EF4F47">
        <w:rPr>
          <w:rFonts w:cstheme="minorHAnsi"/>
          <w:sz w:val="24"/>
          <w:szCs w:val="24"/>
        </w:rPr>
        <w:t>. If data</w:t>
      </w:r>
      <w:r w:rsidR="00FC04CC">
        <w:rPr>
          <w:rFonts w:cstheme="minorHAnsi"/>
          <w:sz w:val="24"/>
          <w:szCs w:val="24"/>
        </w:rPr>
        <w:t xml:space="preserve"> </w:t>
      </w:r>
      <w:r>
        <w:rPr>
          <w:rFonts w:cstheme="minorHAnsi"/>
          <w:sz w:val="24"/>
          <w:szCs w:val="24"/>
        </w:rPr>
        <w:t>quality changes after passing validation,</w:t>
      </w:r>
      <w:r w:rsidR="001845AD">
        <w:rPr>
          <w:rFonts w:cstheme="minorHAnsi"/>
          <w:sz w:val="24"/>
          <w:szCs w:val="24"/>
        </w:rPr>
        <w:t xml:space="preserve"> CPDR</w:t>
      </w:r>
      <w:r w:rsidR="00EF4F47">
        <w:rPr>
          <w:rFonts w:cstheme="minorHAnsi"/>
          <w:sz w:val="24"/>
          <w:szCs w:val="24"/>
        </w:rPr>
        <w:t xml:space="preserve"> will notify and work with facilities or providers</w:t>
      </w:r>
      <w:r w:rsidR="004733EE">
        <w:rPr>
          <w:rFonts w:cstheme="minorHAnsi"/>
          <w:sz w:val="24"/>
          <w:szCs w:val="24"/>
        </w:rPr>
        <w:t xml:space="preserve"> to improve data quality for Parkinson’s disease surveillance</w:t>
      </w:r>
      <w:r w:rsidR="00EF4F47">
        <w:rPr>
          <w:rFonts w:cstheme="minorHAnsi"/>
          <w:sz w:val="24"/>
          <w:szCs w:val="24"/>
        </w:rPr>
        <w:t>.</w:t>
      </w:r>
    </w:p>
    <w:p w:rsidR="00DB446F" w:rsidRDefault="00DB446F" w:rsidP="0027240E">
      <w:pPr>
        <w:rPr>
          <w:rFonts w:cstheme="minorHAnsi"/>
          <w:sz w:val="24"/>
          <w:szCs w:val="24"/>
        </w:rPr>
        <w:sectPr w:rsidR="00DB446F" w:rsidSect="007F1F02">
          <w:footerReference w:type="default" r:id="rId15"/>
          <w:pgSz w:w="12240" w:h="15840"/>
          <w:pgMar w:top="1440" w:right="1440" w:bottom="1440" w:left="1440" w:header="720" w:footer="720" w:gutter="0"/>
          <w:pgNumType w:start="1"/>
          <w:cols w:space="720"/>
          <w:docGrid w:linePitch="299"/>
        </w:sectPr>
      </w:pPr>
    </w:p>
    <w:tbl>
      <w:tblPr>
        <w:tblW w:w="0" w:type="auto"/>
        <w:tblLook w:val="04A0" w:firstRow="1" w:lastRow="0" w:firstColumn="1" w:lastColumn="0" w:noHBand="0" w:noVBand="1"/>
      </w:tblPr>
      <w:tblGrid>
        <w:gridCol w:w="2752"/>
        <w:gridCol w:w="2783"/>
        <w:gridCol w:w="4075"/>
        <w:gridCol w:w="3164"/>
      </w:tblGrid>
      <w:tr w:rsidR="00670039" w:rsidRPr="00DB446F" w:rsidTr="00B43812">
        <w:trPr>
          <w:trHeight w:val="405"/>
        </w:trPr>
        <w:tc>
          <w:tcPr>
            <w:tcW w:w="0" w:type="auto"/>
            <w:gridSpan w:val="4"/>
            <w:tcBorders>
              <w:top w:val="nil"/>
              <w:left w:val="nil"/>
              <w:bottom w:val="single" w:sz="12" w:space="0" w:color="auto"/>
              <w:right w:val="nil"/>
            </w:tcBorders>
            <w:shd w:val="clear" w:color="auto" w:fill="auto"/>
            <w:noWrap/>
            <w:vAlign w:val="center"/>
            <w:hideMark/>
          </w:tcPr>
          <w:p w:rsidR="00DB446F" w:rsidRPr="00DB446F" w:rsidRDefault="00DB446F" w:rsidP="00DB446F">
            <w:pPr>
              <w:spacing w:after="0" w:line="240" w:lineRule="auto"/>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Appendix 1. Table of Data Elements for Electronic Reporting to the California Parkinson’s Disease Registry</w:t>
            </w:r>
          </w:p>
        </w:tc>
      </w:tr>
      <w:tr w:rsidR="00DB446F" w:rsidRPr="00DB446F" w:rsidTr="00B43812">
        <w:trPr>
          <w:trHeight w:val="349"/>
        </w:trPr>
        <w:tc>
          <w:tcPr>
            <w:tcW w:w="0" w:type="auto"/>
            <w:tcBorders>
              <w:top w:val="nil"/>
              <w:left w:val="single" w:sz="12" w:space="0" w:color="auto"/>
              <w:bottom w:val="single" w:sz="12" w:space="0" w:color="auto"/>
              <w:right w:val="single" w:sz="4" w:space="0" w:color="auto"/>
            </w:tcBorders>
            <w:shd w:val="clear" w:color="000000" w:fill="B8CCE4"/>
            <w:noWrap/>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Data Content Area</w:t>
            </w:r>
          </w:p>
        </w:tc>
        <w:tc>
          <w:tcPr>
            <w:tcW w:w="0" w:type="auto"/>
            <w:tcBorders>
              <w:top w:val="nil"/>
              <w:left w:val="nil"/>
              <w:bottom w:val="nil"/>
              <w:right w:val="single" w:sz="4" w:space="0" w:color="auto"/>
            </w:tcBorders>
            <w:shd w:val="clear" w:color="000000" w:fill="B8CCE4"/>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4"/>
                <w:szCs w:val="24"/>
              </w:rPr>
            </w:pPr>
            <w:r w:rsidRPr="00DB446F">
              <w:rPr>
                <w:rFonts w:ascii="Calibri" w:eastAsia="Times New Roman" w:hAnsi="Calibri" w:cs="Times New Roman"/>
                <w:b/>
                <w:bCs/>
                <w:color w:val="000000"/>
                <w:sz w:val="24"/>
                <w:szCs w:val="24"/>
              </w:rPr>
              <w:t>Requirement Optionality</w:t>
            </w:r>
            <w:r w:rsidRPr="00DB446F">
              <w:rPr>
                <w:rFonts w:ascii="Calibri" w:eastAsia="Times New Roman" w:hAnsi="Calibri" w:cs="Times New Roman"/>
                <w:b/>
                <w:bCs/>
                <w:color w:val="000000"/>
                <w:sz w:val="24"/>
                <w:szCs w:val="24"/>
                <w:vertAlign w:val="superscript"/>
              </w:rPr>
              <w:t>1</w:t>
            </w:r>
          </w:p>
        </w:tc>
        <w:tc>
          <w:tcPr>
            <w:tcW w:w="0" w:type="auto"/>
            <w:tcBorders>
              <w:top w:val="nil"/>
              <w:left w:val="nil"/>
              <w:bottom w:val="nil"/>
              <w:right w:val="single" w:sz="4" w:space="0" w:color="auto"/>
            </w:tcBorders>
            <w:shd w:val="clear" w:color="000000" w:fill="B8CCE4"/>
            <w:noWrap/>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 xml:space="preserve">Field </w:t>
            </w:r>
          </w:p>
        </w:tc>
        <w:tc>
          <w:tcPr>
            <w:tcW w:w="0" w:type="auto"/>
            <w:tcBorders>
              <w:top w:val="nil"/>
              <w:left w:val="nil"/>
              <w:bottom w:val="single" w:sz="12" w:space="0" w:color="auto"/>
              <w:right w:val="single" w:sz="12" w:space="0" w:color="auto"/>
            </w:tcBorders>
            <w:shd w:val="clear" w:color="000000" w:fill="B8CCE4"/>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HL7 Segment/Sequence</w:t>
            </w:r>
          </w:p>
        </w:tc>
      </w:tr>
      <w:tr w:rsidR="00DB446F" w:rsidRPr="00DB446F" w:rsidTr="00B43812">
        <w:trPr>
          <w:trHeight w:val="162"/>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Facility ID</w:t>
            </w:r>
          </w:p>
        </w:tc>
        <w:tc>
          <w:tcPr>
            <w:tcW w:w="0" w:type="auto"/>
            <w:tcBorders>
              <w:top w:val="single" w:sz="12" w:space="0" w:color="auto"/>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single" w:sz="12" w:space="0" w:color="auto"/>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Reporting Facility Name</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MSH.3, ORC.21</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Reporting Facility ID</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MSH.4</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Facility Address</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ORC.22</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Facility Phone Number</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ORC.23</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Sending Facility Application</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MSH.3</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Date/Time of Message</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MSH.7</w:t>
            </w:r>
          </w:p>
        </w:tc>
      </w:tr>
      <w:tr w:rsidR="00DB446F" w:rsidRPr="00DB446F" w:rsidTr="00B43812">
        <w:trPr>
          <w:trHeight w:val="147"/>
        </w:trPr>
        <w:tc>
          <w:tcPr>
            <w:tcW w:w="0" w:type="auto"/>
            <w:tcBorders>
              <w:top w:val="nil"/>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Facility Type</w:t>
            </w:r>
          </w:p>
        </w:tc>
        <w:tc>
          <w:tcPr>
            <w:tcW w:w="0" w:type="auto"/>
            <w:tcBorders>
              <w:top w:val="nil"/>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PV1.10</w:t>
            </w:r>
          </w:p>
        </w:tc>
      </w:tr>
      <w:tr w:rsidR="00DB446F" w:rsidRPr="00DB446F" w:rsidTr="00B43812">
        <w:trPr>
          <w:trHeight w:val="147"/>
        </w:trPr>
        <w:tc>
          <w:tcPr>
            <w:tcW w:w="0" w:type="auto"/>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Software ID</w:t>
            </w:r>
          </w:p>
        </w:tc>
        <w:tc>
          <w:tcPr>
            <w:tcW w:w="0" w:type="auto"/>
            <w:tcBorders>
              <w:top w:val="single" w:sz="12" w:space="0" w:color="auto"/>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single" w:sz="12" w:space="0" w:color="auto"/>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Software Vendor Organization</w:t>
            </w:r>
          </w:p>
        </w:tc>
        <w:tc>
          <w:tcPr>
            <w:tcW w:w="0" w:type="auto"/>
            <w:tcBorders>
              <w:top w:val="single" w:sz="12" w:space="0" w:color="auto"/>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SFT.1</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Software Version or Release Number</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SFT.2</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Software Product Name</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SFT.3</w:t>
            </w:r>
          </w:p>
        </w:tc>
      </w:tr>
      <w:tr w:rsidR="00DB446F" w:rsidRPr="00DB446F" w:rsidTr="00B43812">
        <w:trPr>
          <w:trHeight w:val="147"/>
        </w:trPr>
        <w:tc>
          <w:tcPr>
            <w:tcW w:w="0" w:type="auto"/>
            <w:tcBorders>
              <w:top w:val="nil"/>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Software Binary ID</w:t>
            </w:r>
          </w:p>
        </w:tc>
        <w:tc>
          <w:tcPr>
            <w:tcW w:w="0" w:type="auto"/>
            <w:tcBorders>
              <w:top w:val="nil"/>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SFT.4</w:t>
            </w:r>
          </w:p>
        </w:tc>
      </w:tr>
      <w:tr w:rsidR="00DB446F" w:rsidRPr="00DB446F" w:rsidTr="00B43812">
        <w:trPr>
          <w:trHeight w:val="147"/>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Patient ID</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Name (Last, First, MI)</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PID.5</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Date of Birth</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PID.7</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Sex - (Gender)</w:t>
            </w:r>
          </w:p>
        </w:tc>
        <w:tc>
          <w:tcPr>
            <w:tcW w:w="0" w:type="auto"/>
            <w:tcBorders>
              <w:top w:val="nil"/>
              <w:left w:val="nil"/>
              <w:bottom w:val="single" w:sz="4" w:space="0" w:color="auto"/>
              <w:right w:val="single" w:sz="12" w:space="0" w:color="auto"/>
            </w:tcBorders>
            <w:shd w:val="clear" w:color="000000" w:fill="FFFFFF"/>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PID.8</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Phone Number</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PID.13</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Email Address</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PID.15</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Patient Street Address (Street &amp; No)</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PID.11</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Patient Address City</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PID.11</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Patient Address State</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PID.11</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xml:space="preserve">Patient Address Zip (Postal) Code </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PID.11</w:t>
            </w:r>
          </w:p>
        </w:tc>
      </w:tr>
      <w:tr w:rsidR="00DB446F" w:rsidRPr="00DB446F" w:rsidTr="00B43812">
        <w:trPr>
          <w:trHeight w:val="139"/>
        </w:trPr>
        <w:tc>
          <w:tcPr>
            <w:tcW w:w="0" w:type="auto"/>
            <w:tcBorders>
              <w:top w:val="nil"/>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Social Security Number</w:t>
            </w:r>
          </w:p>
        </w:tc>
        <w:tc>
          <w:tcPr>
            <w:tcW w:w="0" w:type="auto"/>
            <w:tcBorders>
              <w:top w:val="nil"/>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PID.19</w:t>
            </w:r>
          </w:p>
        </w:tc>
      </w:tr>
      <w:tr w:rsidR="00DB446F" w:rsidRPr="00DB446F" w:rsidTr="00B43812">
        <w:trPr>
          <w:trHeight w:val="147"/>
        </w:trPr>
        <w:tc>
          <w:tcPr>
            <w:tcW w:w="0" w:type="auto"/>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single" w:sz="4" w:space="0" w:color="auto"/>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Medical Record Number - MRN</w:t>
            </w:r>
          </w:p>
        </w:tc>
        <w:tc>
          <w:tcPr>
            <w:tcW w:w="0" w:type="auto"/>
            <w:tcBorders>
              <w:top w:val="single" w:sz="4" w:space="0" w:color="auto"/>
              <w:left w:val="nil"/>
              <w:bottom w:val="single" w:sz="12" w:space="0" w:color="auto"/>
              <w:right w:val="single" w:sz="12" w:space="0" w:color="auto"/>
            </w:tcBorders>
            <w:shd w:val="clear" w:color="000000" w:fill="FFFFFF"/>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PID.3</w:t>
            </w:r>
          </w:p>
        </w:tc>
      </w:tr>
      <w:tr w:rsidR="00DB446F" w:rsidRPr="00DB446F" w:rsidTr="00B43812">
        <w:trPr>
          <w:trHeight w:val="147"/>
        </w:trPr>
        <w:tc>
          <w:tcPr>
            <w:tcW w:w="0" w:type="auto"/>
            <w:tcBorders>
              <w:top w:val="nil"/>
              <w:left w:val="single" w:sz="12" w:space="0" w:color="auto"/>
              <w:bottom w:val="single" w:sz="4" w:space="0" w:color="auto"/>
              <w:right w:val="single" w:sz="4" w:space="0" w:color="auto"/>
            </w:tcBorders>
            <w:shd w:val="clear" w:color="auto" w:fill="auto"/>
            <w:noWrap/>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Patient Demographics</w:t>
            </w:r>
          </w:p>
        </w:tc>
        <w:tc>
          <w:tcPr>
            <w:tcW w:w="0" w:type="auto"/>
            <w:tcBorders>
              <w:top w:val="nil"/>
              <w:left w:val="nil"/>
              <w:bottom w:val="single" w:sz="4" w:space="0" w:color="auto"/>
              <w:right w:val="single" w:sz="4" w:space="0" w:color="auto"/>
            </w:tcBorders>
            <w:shd w:val="clear" w:color="auto" w:fill="auto"/>
            <w:noWrap/>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Race</w:t>
            </w:r>
          </w:p>
        </w:tc>
        <w:tc>
          <w:tcPr>
            <w:tcW w:w="0" w:type="auto"/>
            <w:tcBorders>
              <w:top w:val="nil"/>
              <w:left w:val="nil"/>
              <w:bottom w:val="single" w:sz="4" w:space="0" w:color="auto"/>
              <w:right w:val="single" w:sz="12" w:space="0" w:color="auto"/>
            </w:tcBorders>
            <w:shd w:val="clear" w:color="000000" w:fill="FFFFFF"/>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PID.10</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Ethnicity</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PID.22</w:t>
            </w:r>
          </w:p>
        </w:tc>
      </w:tr>
      <w:tr w:rsidR="00DB446F" w:rsidRPr="00DB446F" w:rsidTr="00B43812">
        <w:trPr>
          <w:trHeight w:val="139"/>
        </w:trPr>
        <w:tc>
          <w:tcPr>
            <w:tcW w:w="0" w:type="auto"/>
            <w:tcBorders>
              <w:top w:val="nil"/>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Marital Status</w:t>
            </w:r>
          </w:p>
        </w:tc>
        <w:tc>
          <w:tcPr>
            <w:tcW w:w="0" w:type="auto"/>
            <w:tcBorders>
              <w:top w:val="nil"/>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PID.16</w:t>
            </w:r>
          </w:p>
        </w:tc>
      </w:tr>
      <w:tr w:rsidR="00DB446F" w:rsidRPr="00DB446F" w:rsidTr="00B43812">
        <w:trPr>
          <w:trHeight w:val="139"/>
        </w:trPr>
        <w:tc>
          <w:tcPr>
            <w:tcW w:w="0" w:type="auto"/>
            <w:tcBorders>
              <w:top w:val="single" w:sz="4" w:space="0" w:color="auto"/>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single" w:sz="4" w:space="0" w:color="auto"/>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single" w:sz="4" w:space="0" w:color="auto"/>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Religion</w:t>
            </w:r>
          </w:p>
        </w:tc>
        <w:tc>
          <w:tcPr>
            <w:tcW w:w="0" w:type="auto"/>
            <w:tcBorders>
              <w:top w:val="single" w:sz="4" w:space="0" w:color="auto"/>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PID.17</w:t>
            </w:r>
          </w:p>
        </w:tc>
      </w:tr>
      <w:tr w:rsidR="00DB446F" w:rsidRPr="00DB446F" w:rsidTr="00B43812">
        <w:trPr>
          <w:trHeight w:val="147"/>
        </w:trPr>
        <w:tc>
          <w:tcPr>
            <w:tcW w:w="0" w:type="auto"/>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single" w:sz="4" w:space="0" w:color="auto"/>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single" w:sz="4" w:space="0" w:color="auto"/>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Date Last Contact/Death</w:t>
            </w:r>
          </w:p>
        </w:tc>
        <w:tc>
          <w:tcPr>
            <w:tcW w:w="0" w:type="auto"/>
            <w:tcBorders>
              <w:top w:val="single" w:sz="4" w:space="0" w:color="auto"/>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PID.29</w:t>
            </w:r>
          </w:p>
        </w:tc>
      </w:tr>
      <w:tr w:rsidR="00DB446F" w:rsidRPr="00DB446F" w:rsidTr="00B43812">
        <w:trPr>
          <w:trHeight w:val="147"/>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Next of Kin</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Name (Last, First, MI)</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NK.2</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Relationship</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NK.3</w:t>
            </w:r>
          </w:p>
        </w:tc>
      </w:tr>
      <w:tr w:rsidR="00DB446F" w:rsidRPr="00DB446F" w:rsidTr="00B43812">
        <w:trPr>
          <w:trHeight w:val="139"/>
        </w:trPr>
        <w:tc>
          <w:tcPr>
            <w:tcW w:w="0" w:type="auto"/>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Address</w:t>
            </w:r>
          </w:p>
        </w:tc>
        <w:tc>
          <w:tcPr>
            <w:tcW w:w="0" w:type="auto"/>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NK.4, NK.32</w:t>
            </w:r>
          </w:p>
        </w:tc>
      </w:tr>
      <w:tr w:rsidR="00DB446F" w:rsidRPr="00DB446F" w:rsidTr="00B43812">
        <w:trPr>
          <w:trHeight w:val="147"/>
        </w:trPr>
        <w:tc>
          <w:tcPr>
            <w:tcW w:w="0" w:type="auto"/>
            <w:tcBorders>
              <w:top w:val="nil"/>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0" w:type="auto"/>
            <w:tcBorders>
              <w:top w:val="nil"/>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0" w:type="auto"/>
            <w:tcBorders>
              <w:top w:val="nil"/>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Phone Number</w:t>
            </w:r>
          </w:p>
        </w:tc>
        <w:tc>
          <w:tcPr>
            <w:tcW w:w="0" w:type="auto"/>
            <w:tcBorders>
              <w:top w:val="nil"/>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NK.5, NK.31</w:t>
            </w:r>
          </w:p>
        </w:tc>
      </w:tr>
    </w:tbl>
    <w:p w:rsidR="004619BE" w:rsidRPr="00DF7DCA" w:rsidRDefault="00DF7DCA" w:rsidP="00DF7DCA">
      <w:pPr>
        <w:tabs>
          <w:tab w:val="left" w:pos="90"/>
        </w:tabs>
        <w:spacing w:before="120" w:after="0"/>
        <w:ind w:left="144"/>
        <w:rPr>
          <w:rFonts w:cstheme="minorHAnsi"/>
          <w:sz w:val="24"/>
          <w:szCs w:val="24"/>
        </w:rPr>
        <w:sectPr w:rsidR="004619BE" w:rsidRPr="00DF7DCA" w:rsidSect="00B43812">
          <w:footerReference w:type="default" r:id="rId16"/>
          <w:footerReference w:type="first" r:id="rId17"/>
          <w:pgSz w:w="15840" w:h="12240" w:orient="landscape"/>
          <w:pgMar w:top="360" w:right="720" w:bottom="360" w:left="720" w:header="720" w:footer="576" w:gutter="0"/>
          <w:cols w:space="720"/>
          <w:docGrid w:linePitch="299"/>
        </w:sectPr>
      </w:pPr>
      <w:r w:rsidRPr="00DF7DCA">
        <w:rPr>
          <w:rFonts w:ascii="Calibri" w:eastAsia="Times New Roman" w:hAnsi="Calibri" w:cs="Times New Roman"/>
          <w:color w:val="000000"/>
          <w:vertAlign w:val="superscript"/>
        </w:rPr>
        <w:t>1</w:t>
      </w:r>
      <w:r w:rsidRPr="00DF7DCA">
        <w:rPr>
          <w:rFonts w:ascii="Calibri" w:eastAsia="Times New Roman" w:hAnsi="Calibri" w:cs="Times New Roman"/>
          <w:color w:val="000000"/>
        </w:rPr>
        <w:t>R = Required, RE = required if available</w:t>
      </w:r>
      <w:r>
        <w:rPr>
          <w:rFonts w:cstheme="minorHAnsi"/>
          <w:sz w:val="24"/>
          <w:szCs w:val="24"/>
        </w:rPr>
        <w:tab/>
      </w:r>
    </w:p>
    <w:tbl>
      <w:tblPr>
        <w:tblW w:w="5005" w:type="pct"/>
        <w:tblLook w:val="04A0" w:firstRow="1" w:lastRow="0" w:firstColumn="1" w:lastColumn="0" w:noHBand="0" w:noVBand="1"/>
      </w:tblPr>
      <w:tblGrid>
        <w:gridCol w:w="3297"/>
        <w:gridCol w:w="2440"/>
        <w:gridCol w:w="4059"/>
        <w:gridCol w:w="4588"/>
      </w:tblGrid>
      <w:tr w:rsidR="00DF7DCA" w:rsidRPr="00DB446F" w:rsidTr="00DF7DCA">
        <w:trPr>
          <w:trHeight w:val="985"/>
        </w:trPr>
        <w:tc>
          <w:tcPr>
            <w:tcW w:w="1146" w:type="pct"/>
            <w:tcBorders>
              <w:top w:val="single" w:sz="12" w:space="0" w:color="auto"/>
              <w:left w:val="single" w:sz="12" w:space="0" w:color="auto"/>
              <w:bottom w:val="single" w:sz="12" w:space="0" w:color="auto"/>
              <w:right w:val="single" w:sz="4" w:space="0" w:color="auto"/>
            </w:tcBorders>
            <w:shd w:val="clear" w:color="000000" w:fill="B8CCE4"/>
            <w:noWrap/>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Data Content Area</w:t>
            </w:r>
          </w:p>
        </w:tc>
        <w:tc>
          <w:tcPr>
            <w:tcW w:w="848" w:type="pct"/>
            <w:tcBorders>
              <w:top w:val="single" w:sz="12" w:space="0" w:color="auto"/>
              <w:left w:val="nil"/>
              <w:bottom w:val="single" w:sz="12" w:space="0" w:color="auto"/>
              <w:right w:val="single" w:sz="4" w:space="0" w:color="auto"/>
            </w:tcBorders>
            <w:shd w:val="clear" w:color="000000" w:fill="B8CCE4"/>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4"/>
                <w:szCs w:val="24"/>
              </w:rPr>
            </w:pPr>
            <w:r w:rsidRPr="00DB446F">
              <w:rPr>
                <w:rFonts w:ascii="Calibri" w:eastAsia="Times New Roman" w:hAnsi="Calibri" w:cs="Times New Roman"/>
                <w:b/>
                <w:bCs/>
                <w:color w:val="000000"/>
                <w:sz w:val="24"/>
                <w:szCs w:val="24"/>
              </w:rPr>
              <w:t>Requirement Optionality</w:t>
            </w:r>
            <w:r w:rsidRPr="00DB446F">
              <w:rPr>
                <w:rFonts w:ascii="Calibri" w:eastAsia="Times New Roman" w:hAnsi="Calibri" w:cs="Times New Roman"/>
                <w:b/>
                <w:bCs/>
                <w:color w:val="000000"/>
                <w:sz w:val="24"/>
                <w:szCs w:val="24"/>
                <w:vertAlign w:val="superscript"/>
              </w:rPr>
              <w:t>1</w:t>
            </w:r>
          </w:p>
        </w:tc>
        <w:tc>
          <w:tcPr>
            <w:tcW w:w="1411" w:type="pct"/>
            <w:tcBorders>
              <w:top w:val="single" w:sz="12" w:space="0" w:color="auto"/>
              <w:left w:val="nil"/>
              <w:bottom w:val="single" w:sz="12" w:space="0" w:color="auto"/>
              <w:right w:val="single" w:sz="4" w:space="0" w:color="auto"/>
            </w:tcBorders>
            <w:shd w:val="clear" w:color="000000" w:fill="B8CCE4"/>
            <w:noWrap/>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 xml:space="preserve">Field </w:t>
            </w:r>
          </w:p>
        </w:tc>
        <w:tc>
          <w:tcPr>
            <w:tcW w:w="1595" w:type="pct"/>
            <w:tcBorders>
              <w:top w:val="single" w:sz="12" w:space="0" w:color="auto"/>
              <w:left w:val="nil"/>
              <w:bottom w:val="single" w:sz="12" w:space="0" w:color="auto"/>
              <w:right w:val="single" w:sz="12" w:space="0" w:color="auto"/>
            </w:tcBorders>
            <w:shd w:val="clear" w:color="000000" w:fill="B8CCE4"/>
            <w:vAlign w:val="bottom"/>
            <w:hideMark/>
          </w:tcPr>
          <w:p w:rsidR="00DB446F" w:rsidRPr="00DB446F" w:rsidRDefault="00DB446F" w:rsidP="00DB446F">
            <w:pPr>
              <w:spacing w:after="0" w:line="240" w:lineRule="auto"/>
              <w:jc w:val="center"/>
              <w:rPr>
                <w:rFonts w:ascii="Calibri" w:eastAsia="Times New Roman" w:hAnsi="Calibri" w:cs="Times New Roman"/>
                <w:b/>
                <w:bCs/>
                <w:color w:val="000000"/>
                <w:sz w:val="28"/>
                <w:szCs w:val="28"/>
              </w:rPr>
            </w:pPr>
            <w:r w:rsidRPr="00DB446F">
              <w:rPr>
                <w:rFonts w:ascii="Calibri" w:eastAsia="Times New Roman" w:hAnsi="Calibri" w:cs="Times New Roman"/>
                <w:b/>
                <w:bCs/>
                <w:color w:val="000000"/>
                <w:sz w:val="28"/>
                <w:szCs w:val="28"/>
              </w:rPr>
              <w:t>HL7 Segment/Sequence</w:t>
            </w:r>
          </w:p>
        </w:tc>
      </w:tr>
      <w:tr w:rsidR="00DF7DCA" w:rsidRPr="00DB446F" w:rsidTr="00DF7DCA">
        <w:trPr>
          <w:trHeight w:val="43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Patient Visit Information</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Attending Doctor</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PV1.7</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Referring Doctor</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PV1.8</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Consulting Doctor</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PV1.9</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Hospital Service</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PV1.10</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Date/Time Patient Arrived for Services</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PV1.44</w:t>
            </w:r>
          </w:p>
        </w:tc>
      </w:tr>
      <w:tr w:rsidR="00DF7DCA" w:rsidRPr="00DB446F" w:rsidTr="00DF7DCA">
        <w:trPr>
          <w:trHeight w:val="410"/>
        </w:trPr>
        <w:tc>
          <w:tcPr>
            <w:tcW w:w="1146" w:type="pct"/>
            <w:tcBorders>
              <w:top w:val="nil"/>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Date/Time Patient services ended</w:t>
            </w:r>
          </w:p>
        </w:tc>
        <w:tc>
          <w:tcPr>
            <w:tcW w:w="1595" w:type="pct"/>
            <w:tcBorders>
              <w:top w:val="nil"/>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PV1.45</w:t>
            </w:r>
          </w:p>
        </w:tc>
      </w:tr>
      <w:tr w:rsidR="00DF7DCA" w:rsidRPr="00DB446F" w:rsidTr="00DF7DCA">
        <w:trPr>
          <w:trHeight w:val="430"/>
        </w:trPr>
        <w:tc>
          <w:tcPr>
            <w:tcW w:w="1146" w:type="pct"/>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single" w:sz="4" w:space="0" w:color="auto"/>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single" w:sz="4" w:space="0" w:color="auto"/>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Admission Reason</w:t>
            </w:r>
          </w:p>
        </w:tc>
        <w:tc>
          <w:tcPr>
            <w:tcW w:w="1595" w:type="pct"/>
            <w:tcBorders>
              <w:top w:val="single" w:sz="4" w:space="0" w:color="auto"/>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PV2.3</w:t>
            </w:r>
          </w:p>
        </w:tc>
      </w:tr>
      <w:tr w:rsidR="00DF7DCA" w:rsidRPr="00DB446F" w:rsidTr="00DF7DCA">
        <w:trPr>
          <w:trHeight w:val="43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Physician Identifiers (Primary)</w:t>
            </w:r>
          </w:p>
        </w:tc>
        <w:tc>
          <w:tcPr>
            <w:tcW w:w="848" w:type="pct"/>
            <w:tcBorders>
              <w:top w:val="single" w:sz="4" w:space="0" w:color="auto"/>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1411" w:type="pct"/>
            <w:tcBorders>
              <w:top w:val="single" w:sz="4" w:space="0" w:color="auto"/>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Author NPI - Physician ID</w:t>
            </w:r>
          </w:p>
        </w:tc>
        <w:tc>
          <w:tcPr>
            <w:tcW w:w="1595" w:type="pct"/>
            <w:tcBorders>
              <w:top w:val="single" w:sz="4" w:space="0" w:color="auto"/>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OBR.16</w:t>
            </w:r>
          </w:p>
        </w:tc>
      </w:tr>
      <w:tr w:rsidR="00DF7DCA" w:rsidRPr="00DB446F" w:rsidTr="00DF7DCA">
        <w:trPr>
          <w:trHeight w:val="43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 xml:space="preserve">Physician phone number </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OBR.17</w:t>
            </w:r>
          </w:p>
        </w:tc>
      </w:tr>
      <w:tr w:rsidR="00DF7DCA" w:rsidRPr="00DB446F" w:rsidTr="00DF7DCA">
        <w:trPr>
          <w:trHeight w:val="509"/>
        </w:trPr>
        <w:tc>
          <w:tcPr>
            <w:tcW w:w="1146" w:type="pct"/>
            <w:tcBorders>
              <w:top w:val="single" w:sz="12" w:space="0" w:color="auto"/>
              <w:left w:val="single" w:sz="12" w:space="0" w:color="auto"/>
              <w:bottom w:val="single" w:sz="4" w:space="0" w:color="auto"/>
              <w:right w:val="single" w:sz="4" w:space="0" w:color="auto"/>
            </w:tcBorders>
            <w:shd w:val="clear" w:color="auto" w:fill="auto"/>
            <w:noWrap/>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Primary Diagnosis</w:t>
            </w:r>
          </w:p>
        </w:tc>
        <w:tc>
          <w:tcPr>
            <w:tcW w:w="848" w:type="pct"/>
            <w:tcBorders>
              <w:top w:val="single" w:sz="12" w:space="0" w:color="auto"/>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1411" w:type="pct"/>
            <w:tcBorders>
              <w:top w:val="single" w:sz="12" w:space="0" w:color="auto"/>
              <w:left w:val="nil"/>
              <w:bottom w:val="single" w:sz="4" w:space="0" w:color="auto"/>
              <w:right w:val="single" w:sz="4" w:space="0" w:color="auto"/>
            </w:tcBorders>
            <w:shd w:val="clear" w:color="000000" w:fill="FFFFFF"/>
            <w:noWrap/>
            <w:vAlign w:val="center"/>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ICD-10/Diagnostic Term</w:t>
            </w:r>
          </w:p>
        </w:tc>
        <w:tc>
          <w:tcPr>
            <w:tcW w:w="1595" w:type="pct"/>
            <w:tcBorders>
              <w:top w:val="single" w:sz="12" w:space="0" w:color="auto"/>
              <w:left w:val="nil"/>
              <w:bottom w:val="single" w:sz="4" w:space="0" w:color="auto"/>
              <w:right w:val="single" w:sz="12" w:space="0" w:color="auto"/>
            </w:tcBorders>
            <w:shd w:val="clear" w:color="auto" w:fill="auto"/>
            <w:vAlign w:val="center"/>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OBX.5 following  Diagnosis OBR</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xml:space="preserve">Month/Year of Diagnosis </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xml:space="preserve">OBX.14   </w:t>
            </w:r>
          </w:p>
        </w:tc>
      </w:tr>
      <w:tr w:rsidR="00DF7DCA" w:rsidRPr="00DB446F" w:rsidTr="00DF7DCA">
        <w:trPr>
          <w:trHeight w:val="841"/>
        </w:trPr>
        <w:tc>
          <w:tcPr>
            <w:tcW w:w="1146" w:type="pct"/>
            <w:tcBorders>
              <w:top w:val="nil"/>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w:t>
            </w:r>
          </w:p>
        </w:tc>
        <w:tc>
          <w:tcPr>
            <w:tcW w:w="848" w:type="pct"/>
            <w:tcBorders>
              <w:top w:val="nil"/>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w:t>
            </w:r>
          </w:p>
        </w:tc>
        <w:tc>
          <w:tcPr>
            <w:tcW w:w="1411" w:type="pct"/>
            <w:tcBorders>
              <w:top w:val="nil"/>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Comment</w:t>
            </w:r>
          </w:p>
        </w:tc>
        <w:tc>
          <w:tcPr>
            <w:tcW w:w="1595" w:type="pct"/>
            <w:tcBorders>
              <w:top w:val="nil"/>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Optional NTE segment following Primary Diagnosis OBX</w:t>
            </w:r>
          </w:p>
        </w:tc>
      </w:tr>
      <w:tr w:rsidR="00DF7DCA" w:rsidRPr="00DB446F" w:rsidTr="00DF7DCA">
        <w:trPr>
          <w:trHeight w:val="410"/>
        </w:trPr>
        <w:tc>
          <w:tcPr>
            <w:tcW w:w="1146" w:type="pct"/>
            <w:tcBorders>
              <w:top w:val="nil"/>
              <w:left w:val="single" w:sz="12" w:space="0" w:color="auto"/>
              <w:bottom w:val="single" w:sz="4"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Secondary Diagnosis</w:t>
            </w:r>
          </w:p>
        </w:tc>
        <w:tc>
          <w:tcPr>
            <w:tcW w:w="848" w:type="pct"/>
            <w:tcBorders>
              <w:top w:val="nil"/>
              <w:left w:val="nil"/>
              <w:bottom w:val="single" w:sz="4"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4"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Comorbid Condition(s)</w:t>
            </w:r>
          </w:p>
        </w:tc>
        <w:tc>
          <w:tcPr>
            <w:tcW w:w="1595" w:type="pct"/>
            <w:tcBorders>
              <w:top w:val="nil"/>
              <w:left w:val="nil"/>
              <w:bottom w:val="single" w:sz="4"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OBX.5 following  Diagnosis OBR</w:t>
            </w:r>
          </w:p>
        </w:tc>
      </w:tr>
      <w:tr w:rsidR="00DF7DCA" w:rsidRPr="00DB446F" w:rsidTr="00DF7DCA">
        <w:trPr>
          <w:trHeight w:val="841"/>
        </w:trPr>
        <w:tc>
          <w:tcPr>
            <w:tcW w:w="1146" w:type="pct"/>
            <w:tcBorders>
              <w:top w:val="nil"/>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 </w:t>
            </w:r>
          </w:p>
        </w:tc>
        <w:tc>
          <w:tcPr>
            <w:tcW w:w="848" w:type="pct"/>
            <w:tcBorders>
              <w:top w:val="nil"/>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Comment</w:t>
            </w:r>
          </w:p>
        </w:tc>
        <w:tc>
          <w:tcPr>
            <w:tcW w:w="1595" w:type="pct"/>
            <w:tcBorders>
              <w:top w:val="nil"/>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Optional NTE segment following Secondary Diagnosis OBX</w:t>
            </w:r>
          </w:p>
        </w:tc>
      </w:tr>
      <w:tr w:rsidR="00DF7DCA" w:rsidRPr="00DB446F" w:rsidTr="00DF7DCA">
        <w:trPr>
          <w:trHeight w:val="430"/>
        </w:trPr>
        <w:tc>
          <w:tcPr>
            <w:tcW w:w="1146" w:type="pct"/>
            <w:tcBorders>
              <w:top w:val="nil"/>
              <w:left w:val="single" w:sz="12" w:space="0" w:color="auto"/>
              <w:bottom w:val="nil"/>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Disease Onset</w:t>
            </w:r>
          </w:p>
        </w:tc>
        <w:tc>
          <w:tcPr>
            <w:tcW w:w="848" w:type="pct"/>
            <w:tcBorders>
              <w:top w:val="nil"/>
              <w:left w:val="nil"/>
              <w:bottom w:val="nil"/>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nil"/>
              <w:left w:val="nil"/>
              <w:bottom w:val="nil"/>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Onset Date, Onset of Symptoms</w:t>
            </w:r>
          </w:p>
        </w:tc>
        <w:tc>
          <w:tcPr>
            <w:tcW w:w="1595" w:type="pct"/>
            <w:tcBorders>
              <w:top w:val="single" w:sz="4" w:space="0" w:color="auto"/>
              <w:left w:val="nil"/>
              <w:bottom w:val="nil"/>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OBX.5 following  Diagnosis OBR</w:t>
            </w:r>
          </w:p>
        </w:tc>
      </w:tr>
      <w:tr w:rsidR="00DF7DCA" w:rsidRPr="00DB446F" w:rsidTr="00DF7DCA">
        <w:trPr>
          <w:trHeight w:val="430"/>
        </w:trPr>
        <w:tc>
          <w:tcPr>
            <w:tcW w:w="1146" w:type="pct"/>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DB446F" w:rsidRPr="00DB446F" w:rsidRDefault="00DB446F" w:rsidP="00DB446F">
            <w:pPr>
              <w:spacing w:after="0" w:line="240" w:lineRule="auto"/>
              <w:rPr>
                <w:rFonts w:ascii="Calibri" w:eastAsia="Times New Roman" w:hAnsi="Calibri" w:cs="Times New Roman"/>
                <w:b/>
                <w:bCs/>
                <w:color w:val="000000"/>
              </w:rPr>
            </w:pPr>
            <w:r w:rsidRPr="00DB446F">
              <w:rPr>
                <w:rFonts w:ascii="Calibri" w:eastAsia="Times New Roman" w:hAnsi="Calibri" w:cs="Times New Roman"/>
                <w:b/>
                <w:bCs/>
                <w:color w:val="000000"/>
              </w:rPr>
              <w:t> </w:t>
            </w:r>
          </w:p>
        </w:tc>
        <w:tc>
          <w:tcPr>
            <w:tcW w:w="848" w:type="pct"/>
            <w:tcBorders>
              <w:top w:val="single" w:sz="4" w:space="0" w:color="auto"/>
              <w:left w:val="nil"/>
              <w:bottom w:val="single" w:sz="12" w:space="0" w:color="auto"/>
              <w:right w:val="single" w:sz="4" w:space="0" w:color="auto"/>
            </w:tcBorders>
            <w:shd w:val="clear" w:color="auto" w:fill="auto"/>
            <w:noWrap/>
            <w:vAlign w:val="center"/>
            <w:hideMark/>
          </w:tcPr>
          <w:p w:rsidR="00DB446F" w:rsidRPr="00DB446F" w:rsidRDefault="00DB446F" w:rsidP="00DB446F">
            <w:pPr>
              <w:spacing w:after="0" w:line="240" w:lineRule="auto"/>
              <w:jc w:val="center"/>
              <w:rPr>
                <w:rFonts w:ascii="Calibri" w:eastAsia="Times New Roman" w:hAnsi="Calibri" w:cs="Times New Roman"/>
                <w:color w:val="000000"/>
              </w:rPr>
            </w:pPr>
            <w:r w:rsidRPr="00DB446F">
              <w:rPr>
                <w:rFonts w:ascii="Calibri" w:eastAsia="Times New Roman" w:hAnsi="Calibri" w:cs="Times New Roman"/>
                <w:color w:val="000000"/>
              </w:rPr>
              <w:t>RE</w:t>
            </w:r>
          </w:p>
        </w:tc>
        <w:tc>
          <w:tcPr>
            <w:tcW w:w="1411" w:type="pct"/>
            <w:tcBorders>
              <w:top w:val="single" w:sz="4" w:space="0" w:color="auto"/>
              <w:left w:val="nil"/>
              <w:bottom w:val="single" w:sz="12" w:space="0" w:color="auto"/>
              <w:right w:val="single" w:sz="4" w:space="0" w:color="auto"/>
            </w:tcBorders>
            <w:shd w:val="clear" w:color="000000" w:fill="FFFFFF"/>
            <w:noWrap/>
            <w:vAlign w:val="bottom"/>
            <w:hideMark/>
          </w:tcPr>
          <w:p w:rsidR="00DB446F" w:rsidRPr="00DB446F" w:rsidRDefault="00DB446F" w:rsidP="00DB446F">
            <w:pPr>
              <w:spacing w:after="0" w:line="240" w:lineRule="auto"/>
              <w:rPr>
                <w:rFonts w:ascii="Calibri" w:eastAsia="Times New Roman" w:hAnsi="Calibri" w:cs="Times New Roman"/>
              </w:rPr>
            </w:pPr>
            <w:r w:rsidRPr="00DB446F">
              <w:rPr>
                <w:rFonts w:ascii="Calibri" w:eastAsia="Times New Roman" w:hAnsi="Calibri" w:cs="Times New Roman"/>
              </w:rPr>
              <w:t>Comment</w:t>
            </w:r>
          </w:p>
        </w:tc>
        <w:tc>
          <w:tcPr>
            <w:tcW w:w="1595" w:type="pct"/>
            <w:tcBorders>
              <w:top w:val="single" w:sz="4" w:space="0" w:color="auto"/>
              <w:left w:val="nil"/>
              <w:bottom w:val="single" w:sz="12" w:space="0" w:color="auto"/>
              <w:right w:val="single" w:sz="12" w:space="0" w:color="auto"/>
            </w:tcBorders>
            <w:shd w:val="clear" w:color="auto" w:fill="auto"/>
            <w:vAlign w:val="bottom"/>
            <w:hideMark/>
          </w:tcPr>
          <w:p w:rsidR="00DB446F" w:rsidRPr="00DB446F" w:rsidRDefault="00DB446F" w:rsidP="00DB446F">
            <w:pPr>
              <w:spacing w:after="0" w:line="240" w:lineRule="auto"/>
              <w:rPr>
                <w:rFonts w:ascii="Calibri" w:eastAsia="Times New Roman" w:hAnsi="Calibri" w:cs="Times New Roman"/>
                <w:color w:val="000000"/>
              </w:rPr>
            </w:pPr>
            <w:r w:rsidRPr="00DB446F">
              <w:rPr>
                <w:rFonts w:ascii="Calibri" w:eastAsia="Times New Roman" w:hAnsi="Calibri" w:cs="Times New Roman"/>
                <w:color w:val="000000"/>
              </w:rPr>
              <w:t>Optional NTE segment following Disease Onset OBX</w:t>
            </w:r>
          </w:p>
        </w:tc>
      </w:tr>
    </w:tbl>
    <w:p w:rsidR="00C1608C" w:rsidRDefault="00DF7DCA" w:rsidP="00DF7DCA">
      <w:pPr>
        <w:spacing w:before="120" w:after="0"/>
        <w:ind w:left="144"/>
        <w:rPr>
          <w:rFonts w:cstheme="minorHAnsi"/>
          <w:sz w:val="24"/>
          <w:szCs w:val="24"/>
        </w:rPr>
      </w:pPr>
      <w:r w:rsidRPr="00DF7DCA">
        <w:rPr>
          <w:rFonts w:ascii="Calibri" w:eastAsia="Times New Roman" w:hAnsi="Calibri" w:cs="Times New Roman"/>
          <w:color w:val="000000"/>
          <w:vertAlign w:val="superscript"/>
        </w:rPr>
        <w:t>1</w:t>
      </w:r>
      <w:r w:rsidRPr="00DF7DCA">
        <w:rPr>
          <w:rFonts w:ascii="Calibri" w:eastAsia="Times New Roman" w:hAnsi="Calibri" w:cs="Times New Roman"/>
          <w:color w:val="000000"/>
        </w:rPr>
        <w:t>R = Required, RE = required if available</w:t>
      </w:r>
    </w:p>
    <w:p w:rsidR="00DF7DCA" w:rsidRDefault="00DF7DCA" w:rsidP="004619BE">
      <w:pPr>
        <w:spacing w:after="0"/>
        <w:rPr>
          <w:rFonts w:cstheme="minorHAnsi"/>
          <w:sz w:val="24"/>
          <w:szCs w:val="24"/>
        </w:rPr>
      </w:pPr>
    </w:p>
    <w:p w:rsidR="00DF7DCA" w:rsidRDefault="00DF7DCA" w:rsidP="004619BE">
      <w:pPr>
        <w:spacing w:after="0"/>
        <w:rPr>
          <w:rFonts w:cstheme="minorHAnsi"/>
          <w:sz w:val="24"/>
          <w:szCs w:val="24"/>
        </w:rPr>
      </w:pPr>
    </w:p>
    <w:p w:rsidR="00DF7DCA" w:rsidRDefault="00DF7DCA" w:rsidP="004619BE">
      <w:pPr>
        <w:spacing w:after="0"/>
        <w:rPr>
          <w:rFonts w:cstheme="minorHAnsi"/>
          <w:sz w:val="24"/>
          <w:szCs w:val="24"/>
        </w:rPr>
      </w:pPr>
    </w:p>
    <w:tbl>
      <w:tblPr>
        <w:tblW w:w="4888" w:type="pct"/>
        <w:tblLook w:val="04A0" w:firstRow="1" w:lastRow="0" w:firstColumn="1" w:lastColumn="0" w:noHBand="0" w:noVBand="1"/>
      </w:tblPr>
      <w:tblGrid>
        <w:gridCol w:w="3764"/>
        <w:gridCol w:w="1793"/>
        <w:gridCol w:w="4678"/>
        <w:gridCol w:w="3813"/>
      </w:tblGrid>
      <w:tr w:rsidR="00DF7DCA" w:rsidRPr="00DF7DCA" w:rsidTr="00670039">
        <w:trPr>
          <w:trHeight w:val="807"/>
        </w:trPr>
        <w:tc>
          <w:tcPr>
            <w:tcW w:w="1340" w:type="pct"/>
            <w:tcBorders>
              <w:top w:val="single" w:sz="12" w:space="0" w:color="auto"/>
              <w:left w:val="single" w:sz="12" w:space="0" w:color="auto"/>
              <w:bottom w:val="single" w:sz="12" w:space="0" w:color="auto"/>
              <w:right w:val="single" w:sz="4" w:space="0" w:color="auto"/>
            </w:tcBorders>
            <w:shd w:val="clear" w:color="000000" w:fill="B8CCE4"/>
            <w:noWrap/>
            <w:vAlign w:val="bottom"/>
            <w:hideMark/>
          </w:tcPr>
          <w:p w:rsidR="00DF7DCA" w:rsidRPr="00DF7DCA" w:rsidRDefault="00DF7DCA" w:rsidP="00DF7DCA">
            <w:pPr>
              <w:spacing w:after="0" w:line="240" w:lineRule="auto"/>
              <w:jc w:val="center"/>
              <w:rPr>
                <w:rFonts w:ascii="Calibri" w:eastAsia="Times New Roman" w:hAnsi="Calibri" w:cs="Times New Roman"/>
                <w:b/>
                <w:bCs/>
                <w:color w:val="000000"/>
                <w:sz w:val="28"/>
                <w:szCs w:val="28"/>
              </w:rPr>
            </w:pPr>
            <w:r w:rsidRPr="00DF7DCA">
              <w:rPr>
                <w:rFonts w:ascii="Calibri" w:eastAsia="Times New Roman" w:hAnsi="Calibri" w:cs="Times New Roman"/>
                <w:b/>
                <w:bCs/>
                <w:color w:val="000000"/>
                <w:sz w:val="28"/>
                <w:szCs w:val="28"/>
              </w:rPr>
              <w:t>Data Content Area</w:t>
            </w:r>
          </w:p>
        </w:tc>
        <w:tc>
          <w:tcPr>
            <w:tcW w:w="638" w:type="pct"/>
            <w:tcBorders>
              <w:top w:val="single" w:sz="12" w:space="0" w:color="auto"/>
              <w:left w:val="nil"/>
              <w:bottom w:val="single" w:sz="12" w:space="0" w:color="auto"/>
              <w:right w:val="single" w:sz="4" w:space="0" w:color="auto"/>
            </w:tcBorders>
            <w:shd w:val="clear" w:color="000000" w:fill="B8CCE4"/>
            <w:vAlign w:val="bottom"/>
            <w:hideMark/>
          </w:tcPr>
          <w:p w:rsidR="00DF7DCA" w:rsidRPr="00DF7DCA" w:rsidRDefault="00DF7DCA" w:rsidP="00DF7DCA">
            <w:pPr>
              <w:spacing w:after="0" w:line="240" w:lineRule="auto"/>
              <w:jc w:val="center"/>
              <w:rPr>
                <w:rFonts w:ascii="Calibri" w:eastAsia="Times New Roman" w:hAnsi="Calibri" w:cs="Times New Roman"/>
                <w:b/>
                <w:bCs/>
                <w:color w:val="000000"/>
                <w:sz w:val="24"/>
                <w:szCs w:val="24"/>
              </w:rPr>
            </w:pPr>
            <w:r w:rsidRPr="00DF7DCA">
              <w:rPr>
                <w:rFonts w:ascii="Calibri" w:eastAsia="Times New Roman" w:hAnsi="Calibri" w:cs="Times New Roman"/>
                <w:b/>
                <w:bCs/>
                <w:color w:val="000000"/>
                <w:sz w:val="24"/>
                <w:szCs w:val="24"/>
              </w:rPr>
              <w:t>Requirement Optionality</w:t>
            </w:r>
            <w:r w:rsidRPr="00DF7DCA">
              <w:rPr>
                <w:rFonts w:ascii="Calibri" w:eastAsia="Times New Roman" w:hAnsi="Calibri" w:cs="Times New Roman"/>
                <w:b/>
                <w:bCs/>
                <w:color w:val="000000"/>
                <w:sz w:val="24"/>
                <w:szCs w:val="24"/>
                <w:vertAlign w:val="superscript"/>
              </w:rPr>
              <w:t>1</w:t>
            </w:r>
          </w:p>
        </w:tc>
        <w:tc>
          <w:tcPr>
            <w:tcW w:w="1665" w:type="pct"/>
            <w:tcBorders>
              <w:top w:val="single" w:sz="12" w:space="0" w:color="auto"/>
              <w:left w:val="nil"/>
              <w:bottom w:val="single" w:sz="12" w:space="0" w:color="auto"/>
              <w:right w:val="single" w:sz="4" w:space="0" w:color="auto"/>
            </w:tcBorders>
            <w:shd w:val="clear" w:color="000000" w:fill="B8CCE4"/>
            <w:noWrap/>
            <w:vAlign w:val="bottom"/>
            <w:hideMark/>
          </w:tcPr>
          <w:p w:rsidR="00DF7DCA" w:rsidRPr="00DF7DCA" w:rsidRDefault="00DF7DCA" w:rsidP="00DF7DCA">
            <w:pPr>
              <w:spacing w:after="0" w:line="240" w:lineRule="auto"/>
              <w:jc w:val="center"/>
              <w:rPr>
                <w:rFonts w:ascii="Calibri" w:eastAsia="Times New Roman" w:hAnsi="Calibri" w:cs="Times New Roman"/>
                <w:b/>
                <w:bCs/>
                <w:color w:val="000000"/>
                <w:sz w:val="28"/>
                <w:szCs w:val="28"/>
              </w:rPr>
            </w:pPr>
            <w:r w:rsidRPr="00DF7DCA">
              <w:rPr>
                <w:rFonts w:ascii="Calibri" w:eastAsia="Times New Roman" w:hAnsi="Calibri" w:cs="Times New Roman"/>
                <w:b/>
                <w:bCs/>
                <w:color w:val="000000"/>
                <w:sz w:val="28"/>
                <w:szCs w:val="28"/>
              </w:rPr>
              <w:t xml:space="preserve">Field </w:t>
            </w:r>
          </w:p>
        </w:tc>
        <w:tc>
          <w:tcPr>
            <w:tcW w:w="1357" w:type="pct"/>
            <w:tcBorders>
              <w:top w:val="single" w:sz="12" w:space="0" w:color="auto"/>
              <w:left w:val="nil"/>
              <w:bottom w:val="single" w:sz="12" w:space="0" w:color="auto"/>
              <w:right w:val="single" w:sz="12" w:space="0" w:color="auto"/>
            </w:tcBorders>
            <w:shd w:val="clear" w:color="000000" w:fill="B8CCE4"/>
            <w:vAlign w:val="bottom"/>
            <w:hideMark/>
          </w:tcPr>
          <w:p w:rsidR="00DF7DCA" w:rsidRPr="00DF7DCA" w:rsidRDefault="00DF7DCA" w:rsidP="00DF7DCA">
            <w:pPr>
              <w:spacing w:after="0" w:line="240" w:lineRule="auto"/>
              <w:jc w:val="center"/>
              <w:rPr>
                <w:rFonts w:ascii="Calibri" w:eastAsia="Times New Roman" w:hAnsi="Calibri" w:cs="Times New Roman"/>
                <w:b/>
                <w:bCs/>
                <w:color w:val="000000"/>
                <w:sz w:val="28"/>
                <w:szCs w:val="28"/>
              </w:rPr>
            </w:pPr>
            <w:r w:rsidRPr="00DF7DCA">
              <w:rPr>
                <w:rFonts w:ascii="Calibri" w:eastAsia="Times New Roman" w:hAnsi="Calibri" w:cs="Times New Roman"/>
                <w:b/>
                <w:bCs/>
                <w:color w:val="000000"/>
                <w:sz w:val="28"/>
                <w:szCs w:val="28"/>
              </w:rPr>
              <w:t>HL7 Segment/Sequence</w:t>
            </w:r>
          </w:p>
        </w:tc>
      </w:tr>
      <w:tr w:rsidR="00670039" w:rsidRPr="00DF7DCA" w:rsidTr="00670039">
        <w:trPr>
          <w:trHeight w:val="351"/>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b/>
                <w:bCs/>
                <w:color w:val="000000"/>
              </w:rPr>
            </w:pPr>
            <w:r w:rsidRPr="00DF7DCA">
              <w:rPr>
                <w:rFonts w:ascii="Calibri" w:eastAsia="Times New Roman" w:hAnsi="Calibri" w:cs="Times New Roman"/>
                <w:b/>
                <w:bCs/>
                <w:color w:val="000000"/>
              </w:rPr>
              <w:t>Cardinal Signs / Symptoms of PD</w:t>
            </w: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Mentation, Behavior, Mood</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Activities of Daily Living</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Motor Examination</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Complications of Therapy</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Hoen and Yahr Staging</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Schwab England Activities of Daily Living</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UPDRS: Schwab England: with Dyskinesia</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the Cardinal Signs Order  OBR</w:t>
            </w:r>
          </w:p>
        </w:tc>
      </w:tr>
      <w:tr w:rsidR="00670039" w:rsidRPr="00DF7DCA" w:rsidTr="00670039">
        <w:trPr>
          <w:trHeight w:val="1026"/>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Clinical notes regarding general cardinal signs and/or symptoms of Parkinson's disease</w:t>
            </w:r>
          </w:p>
        </w:tc>
        <w:tc>
          <w:tcPr>
            <w:tcW w:w="1357" w:type="pct"/>
            <w:tcBorders>
              <w:top w:val="nil"/>
              <w:left w:val="nil"/>
              <w:bottom w:val="single" w:sz="12"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Optional NTE segment following Cardinal Signs OBX</w:t>
            </w:r>
          </w:p>
        </w:tc>
      </w:tr>
      <w:tr w:rsidR="00670039" w:rsidRPr="00DF7DCA" w:rsidTr="00670039">
        <w:trPr>
          <w:trHeight w:val="689"/>
        </w:trPr>
        <w:tc>
          <w:tcPr>
            <w:tcW w:w="134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b/>
                <w:bCs/>
                <w:color w:val="000000"/>
              </w:rPr>
            </w:pPr>
            <w:r w:rsidRPr="00DF7DCA">
              <w:rPr>
                <w:rFonts w:ascii="Calibri" w:eastAsia="Times New Roman" w:hAnsi="Calibri" w:cs="Times New Roman"/>
                <w:b/>
                <w:bCs/>
                <w:color w:val="000000"/>
              </w:rPr>
              <w:t>Surgical Treatments</w:t>
            </w:r>
          </w:p>
        </w:tc>
        <w:tc>
          <w:tcPr>
            <w:tcW w:w="638" w:type="pct"/>
            <w:tcBorders>
              <w:top w:val="single" w:sz="12" w:space="0" w:color="auto"/>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single" w:sz="12" w:space="0" w:color="auto"/>
              <w:left w:val="nil"/>
              <w:bottom w:val="nil"/>
              <w:right w:val="single" w:sz="4" w:space="0" w:color="auto"/>
            </w:tcBorders>
            <w:shd w:val="clear" w:color="000000" w:fill="FFFFFF"/>
            <w:vAlign w:val="center"/>
            <w:hideMark/>
          </w:tcPr>
          <w:p w:rsidR="00DF7DCA" w:rsidRPr="00DF7DCA" w:rsidRDefault="00DF7DCA" w:rsidP="00DF7DCA">
            <w:pPr>
              <w:spacing w:after="0" w:line="240" w:lineRule="auto"/>
              <w:rPr>
                <w:rFonts w:ascii="Calibri" w:eastAsia="Times New Roman" w:hAnsi="Calibri" w:cs="Times New Roman"/>
              </w:rPr>
            </w:pPr>
            <w:r w:rsidRPr="00DF7DCA">
              <w:rPr>
                <w:rFonts w:ascii="Calibri" w:eastAsia="Times New Roman" w:hAnsi="Calibri" w:cs="Times New Roman"/>
              </w:rPr>
              <w:t>Deep Brain Stimulation, Neuroablative Procedures</w:t>
            </w:r>
          </w:p>
        </w:tc>
        <w:tc>
          <w:tcPr>
            <w:tcW w:w="1357" w:type="pct"/>
            <w:tcBorders>
              <w:top w:val="nil"/>
              <w:left w:val="nil"/>
              <w:bottom w:val="nil"/>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Surgical Treatments Order OBR</w:t>
            </w:r>
          </w:p>
        </w:tc>
      </w:tr>
      <w:tr w:rsidR="00670039" w:rsidRPr="00DF7DCA" w:rsidTr="00670039">
        <w:trPr>
          <w:trHeight w:val="689"/>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single" w:sz="4" w:space="0" w:color="auto"/>
              <w:left w:val="nil"/>
              <w:bottom w:val="single" w:sz="12" w:space="0" w:color="auto"/>
              <w:right w:val="single" w:sz="4"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Comments</w:t>
            </w:r>
          </w:p>
        </w:tc>
        <w:tc>
          <w:tcPr>
            <w:tcW w:w="1357" w:type="pct"/>
            <w:tcBorders>
              <w:top w:val="single" w:sz="4" w:space="0" w:color="auto"/>
              <w:left w:val="nil"/>
              <w:bottom w:val="nil"/>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Optional NTE segment following Surgical Treatments OBX</w:t>
            </w:r>
          </w:p>
        </w:tc>
      </w:tr>
      <w:tr w:rsidR="00670039" w:rsidRPr="00DF7DCA" w:rsidTr="00670039">
        <w:trPr>
          <w:trHeight w:val="351"/>
        </w:trPr>
        <w:tc>
          <w:tcPr>
            <w:tcW w:w="134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b/>
                <w:bCs/>
                <w:color w:val="000000"/>
              </w:rPr>
            </w:pPr>
            <w:r w:rsidRPr="00DF7DCA">
              <w:rPr>
                <w:rFonts w:ascii="Calibri" w:eastAsia="Times New Roman" w:hAnsi="Calibri" w:cs="Times New Roman"/>
                <w:b/>
                <w:bCs/>
                <w:color w:val="000000"/>
              </w:rPr>
              <w:t>Medications</w:t>
            </w:r>
          </w:p>
        </w:tc>
        <w:tc>
          <w:tcPr>
            <w:tcW w:w="638" w:type="pct"/>
            <w:tcBorders>
              <w:top w:val="single" w:sz="12" w:space="0" w:color="auto"/>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vAlign w:val="center"/>
            <w:hideMark/>
          </w:tcPr>
          <w:p w:rsidR="00DF7DCA" w:rsidRPr="00DF7DCA" w:rsidRDefault="00DF7DCA" w:rsidP="00DF7DCA">
            <w:pPr>
              <w:spacing w:after="0" w:line="240" w:lineRule="auto"/>
              <w:rPr>
                <w:rFonts w:ascii="Arial" w:eastAsia="Times New Roman" w:hAnsi="Arial" w:cs="Arial"/>
                <w:sz w:val="20"/>
                <w:szCs w:val="20"/>
              </w:rPr>
            </w:pPr>
            <w:r w:rsidRPr="00DF7DCA">
              <w:rPr>
                <w:rFonts w:ascii="Arial" w:eastAsia="Times New Roman" w:hAnsi="Arial" w:cs="Arial"/>
                <w:sz w:val="20"/>
                <w:szCs w:val="20"/>
              </w:rPr>
              <w:t>Name</w:t>
            </w:r>
          </w:p>
        </w:tc>
        <w:tc>
          <w:tcPr>
            <w:tcW w:w="1357" w:type="pct"/>
            <w:tcBorders>
              <w:top w:val="single" w:sz="12" w:space="0" w:color="auto"/>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Medication Order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b/>
                <w:bCs/>
                <w:color w:val="000000"/>
              </w:rPr>
            </w:pPr>
            <w:r w:rsidRPr="00DF7DCA">
              <w:rPr>
                <w:rFonts w:ascii="Calibri" w:eastAsia="Times New Roman" w:hAnsi="Calibri" w:cs="Times New Roman"/>
                <w:b/>
                <w:bCs/>
                <w:color w:val="000000"/>
              </w:rPr>
              <w:t>(fields may repeat, Med 1, Med 2,…..)</w:t>
            </w: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vAlign w:val="center"/>
            <w:hideMark/>
          </w:tcPr>
          <w:p w:rsidR="00DF7DCA" w:rsidRPr="00DF7DCA" w:rsidRDefault="00DF7DCA" w:rsidP="00DF7DCA">
            <w:pPr>
              <w:spacing w:after="0" w:line="240" w:lineRule="auto"/>
              <w:rPr>
                <w:rFonts w:ascii="Arial" w:eastAsia="Times New Roman" w:hAnsi="Arial" w:cs="Arial"/>
                <w:sz w:val="20"/>
                <w:szCs w:val="20"/>
              </w:rPr>
            </w:pPr>
            <w:r w:rsidRPr="00DF7DCA">
              <w:rPr>
                <w:rFonts w:ascii="Arial" w:eastAsia="Times New Roman" w:hAnsi="Arial" w:cs="Arial"/>
                <w:sz w:val="20"/>
                <w:szCs w:val="20"/>
              </w:rPr>
              <w:t>Identifier</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Medication Order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single" w:sz="4"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single" w:sz="4"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Dose</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Medication Order</w:t>
            </w:r>
          </w:p>
        </w:tc>
      </w:tr>
      <w:tr w:rsidR="00670039" w:rsidRPr="00DF7DCA" w:rsidTr="00670039">
        <w:trPr>
          <w:trHeight w:val="334"/>
        </w:trPr>
        <w:tc>
          <w:tcPr>
            <w:tcW w:w="1340" w:type="pct"/>
            <w:tcBorders>
              <w:top w:val="nil"/>
              <w:left w:val="single" w:sz="12" w:space="0" w:color="auto"/>
              <w:bottom w:val="single" w:sz="4"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nil"/>
              <w:left w:val="nil"/>
              <w:bottom w:val="nil"/>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nil"/>
              <w:left w:val="nil"/>
              <w:bottom w:val="nil"/>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Frequency</w:t>
            </w:r>
          </w:p>
        </w:tc>
        <w:tc>
          <w:tcPr>
            <w:tcW w:w="1357" w:type="pct"/>
            <w:tcBorders>
              <w:top w:val="nil"/>
              <w:left w:val="nil"/>
              <w:bottom w:val="single" w:sz="4"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OBX.5 following Medication Order</w:t>
            </w:r>
          </w:p>
        </w:tc>
      </w:tr>
      <w:tr w:rsidR="00670039" w:rsidRPr="00DF7DCA" w:rsidTr="00670039">
        <w:trPr>
          <w:trHeight w:val="351"/>
        </w:trPr>
        <w:tc>
          <w:tcPr>
            <w:tcW w:w="1340" w:type="pct"/>
            <w:tcBorders>
              <w:top w:val="nil"/>
              <w:left w:val="single" w:sz="12" w:space="0" w:color="auto"/>
              <w:bottom w:val="single" w:sz="12" w:space="0" w:color="auto"/>
              <w:right w:val="single" w:sz="4" w:space="0" w:color="auto"/>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638" w:type="pct"/>
            <w:tcBorders>
              <w:top w:val="single" w:sz="4" w:space="0" w:color="auto"/>
              <w:left w:val="nil"/>
              <w:bottom w:val="single" w:sz="12" w:space="0" w:color="auto"/>
              <w:right w:val="single" w:sz="4" w:space="0" w:color="auto"/>
            </w:tcBorders>
            <w:shd w:val="clear" w:color="auto" w:fill="auto"/>
            <w:noWrap/>
            <w:vAlign w:val="center"/>
            <w:hideMark/>
          </w:tcPr>
          <w:p w:rsidR="00DF7DCA" w:rsidRPr="00DF7DCA" w:rsidRDefault="00DF7DCA" w:rsidP="00670039">
            <w:pPr>
              <w:spacing w:after="0" w:line="240" w:lineRule="auto"/>
              <w:jc w:val="center"/>
              <w:rPr>
                <w:rFonts w:ascii="Calibri" w:eastAsia="Times New Roman" w:hAnsi="Calibri" w:cs="Times New Roman"/>
                <w:color w:val="000000"/>
              </w:rPr>
            </w:pPr>
            <w:r w:rsidRPr="00DF7DCA">
              <w:rPr>
                <w:rFonts w:ascii="Calibri" w:eastAsia="Times New Roman" w:hAnsi="Calibri" w:cs="Times New Roman"/>
                <w:color w:val="000000"/>
              </w:rPr>
              <w:t>RE</w:t>
            </w:r>
          </w:p>
        </w:tc>
        <w:tc>
          <w:tcPr>
            <w:tcW w:w="1665" w:type="pct"/>
            <w:tcBorders>
              <w:top w:val="single" w:sz="4" w:space="0" w:color="auto"/>
              <w:left w:val="nil"/>
              <w:bottom w:val="single" w:sz="12" w:space="0" w:color="auto"/>
              <w:right w:val="single" w:sz="4" w:space="0" w:color="auto"/>
            </w:tcBorders>
            <w:shd w:val="clear" w:color="000000" w:fill="FFFFFF"/>
            <w:noWrap/>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Comments</w:t>
            </w:r>
          </w:p>
        </w:tc>
        <w:tc>
          <w:tcPr>
            <w:tcW w:w="1357" w:type="pct"/>
            <w:tcBorders>
              <w:top w:val="nil"/>
              <w:left w:val="nil"/>
              <w:bottom w:val="single" w:sz="12" w:space="0" w:color="auto"/>
              <w:right w:val="single" w:sz="12" w:space="0" w:color="auto"/>
            </w:tcBorders>
            <w:shd w:val="clear" w:color="auto" w:fill="auto"/>
            <w:vAlign w:val="center"/>
            <w:hideMark/>
          </w:tcPr>
          <w:p w:rsidR="00DF7DCA" w:rsidRPr="00DF7DCA" w:rsidRDefault="00DF7DCA" w:rsidP="00DF7DCA">
            <w:pPr>
              <w:spacing w:after="0" w:line="240" w:lineRule="auto"/>
              <w:rPr>
                <w:rFonts w:ascii="Calibri" w:eastAsia="Times New Roman" w:hAnsi="Calibri" w:cs="Times New Roman"/>
                <w:color w:val="000000"/>
              </w:rPr>
            </w:pPr>
            <w:r w:rsidRPr="00DF7DCA">
              <w:rPr>
                <w:rFonts w:ascii="Calibri" w:eastAsia="Times New Roman" w:hAnsi="Calibri" w:cs="Times New Roman"/>
                <w:color w:val="000000"/>
              </w:rPr>
              <w:t>Optional NTE Segment following Medications OBX</w:t>
            </w:r>
          </w:p>
        </w:tc>
      </w:tr>
      <w:tr w:rsidR="00670039" w:rsidRPr="00DF7DCA" w:rsidTr="00670039">
        <w:trPr>
          <w:trHeight w:val="403"/>
        </w:trPr>
        <w:tc>
          <w:tcPr>
            <w:tcW w:w="1978" w:type="pct"/>
            <w:gridSpan w:val="2"/>
            <w:tcBorders>
              <w:top w:val="nil"/>
              <w:left w:val="nil"/>
              <w:bottom w:val="nil"/>
              <w:right w:val="nil"/>
            </w:tcBorders>
            <w:shd w:val="clear" w:color="auto" w:fill="auto"/>
            <w:noWrap/>
            <w:vAlign w:val="bottom"/>
            <w:hideMark/>
          </w:tcPr>
          <w:p w:rsidR="00DF7DCA" w:rsidRPr="00DF7DCA" w:rsidRDefault="00DF7DCA" w:rsidP="00670039">
            <w:pPr>
              <w:spacing w:before="120" w:after="0" w:line="240" w:lineRule="auto"/>
              <w:rPr>
                <w:rFonts w:ascii="Calibri" w:eastAsia="Times New Roman" w:hAnsi="Calibri" w:cs="Times New Roman"/>
                <w:color w:val="000000"/>
              </w:rPr>
            </w:pPr>
            <w:r w:rsidRPr="00DF7DCA">
              <w:rPr>
                <w:rFonts w:ascii="Calibri" w:eastAsia="Times New Roman" w:hAnsi="Calibri" w:cs="Times New Roman"/>
                <w:color w:val="000000"/>
                <w:vertAlign w:val="superscript"/>
              </w:rPr>
              <w:t>1</w:t>
            </w:r>
            <w:r w:rsidRPr="00DF7DCA">
              <w:rPr>
                <w:rFonts w:ascii="Calibri" w:eastAsia="Times New Roman" w:hAnsi="Calibri" w:cs="Times New Roman"/>
                <w:color w:val="000000"/>
              </w:rPr>
              <w:t>R = Required, RE = required if available</w:t>
            </w:r>
          </w:p>
        </w:tc>
        <w:tc>
          <w:tcPr>
            <w:tcW w:w="1665" w:type="pct"/>
            <w:tcBorders>
              <w:top w:val="nil"/>
              <w:left w:val="nil"/>
              <w:bottom w:val="nil"/>
              <w:right w:val="nil"/>
            </w:tcBorders>
            <w:shd w:val="clear" w:color="auto" w:fill="auto"/>
            <w:noWrap/>
            <w:vAlign w:val="center"/>
            <w:hideMark/>
          </w:tcPr>
          <w:p w:rsidR="00DF7DCA" w:rsidRPr="00DF7DCA" w:rsidRDefault="00DF7DCA" w:rsidP="00DF7DCA">
            <w:pPr>
              <w:spacing w:after="0" w:line="240" w:lineRule="auto"/>
              <w:rPr>
                <w:rFonts w:ascii="Calibri" w:eastAsia="Times New Roman" w:hAnsi="Calibri" w:cs="Times New Roman"/>
                <w:color w:val="000000"/>
              </w:rPr>
            </w:pPr>
          </w:p>
        </w:tc>
        <w:tc>
          <w:tcPr>
            <w:tcW w:w="1357" w:type="pct"/>
            <w:tcBorders>
              <w:top w:val="nil"/>
              <w:left w:val="nil"/>
              <w:bottom w:val="nil"/>
              <w:right w:val="nil"/>
            </w:tcBorders>
            <w:shd w:val="clear" w:color="auto" w:fill="auto"/>
            <w:vAlign w:val="bottom"/>
            <w:hideMark/>
          </w:tcPr>
          <w:p w:rsidR="00DF7DCA" w:rsidRPr="00DF7DCA" w:rsidRDefault="00DF7DCA" w:rsidP="00670039">
            <w:pPr>
              <w:spacing w:after="0" w:line="240" w:lineRule="auto"/>
              <w:rPr>
                <w:rFonts w:ascii="Times New Roman" w:eastAsia="Times New Roman" w:hAnsi="Times New Roman" w:cs="Times New Roman"/>
                <w:sz w:val="20"/>
                <w:szCs w:val="20"/>
              </w:rPr>
            </w:pPr>
          </w:p>
        </w:tc>
      </w:tr>
    </w:tbl>
    <w:p w:rsidR="00DF7DCA" w:rsidRPr="00D1627E" w:rsidRDefault="00DF7DCA" w:rsidP="00670039">
      <w:pPr>
        <w:spacing w:after="0"/>
        <w:rPr>
          <w:rFonts w:cstheme="minorHAnsi"/>
          <w:sz w:val="24"/>
          <w:szCs w:val="24"/>
        </w:rPr>
      </w:pPr>
    </w:p>
    <w:sectPr w:rsidR="00DF7DCA" w:rsidRPr="00D1627E" w:rsidSect="00036B37">
      <w:pgSz w:w="15840" w:h="12240" w:orient="landscape"/>
      <w:pgMar w:top="720" w:right="720" w:bottom="720" w:left="72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95C" w:rsidRDefault="0053395C" w:rsidP="002E59BC">
      <w:pPr>
        <w:spacing w:after="0" w:line="240" w:lineRule="auto"/>
      </w:pPr>
      <w:r>
        <w:separator/>
      </w:r>
    </w:p>
  </w:endnote>
  <w:endnote w:type="continuationSeparator" w:id="0">
    <w:p w:rsidR="0053395C" w:rsidRDefault="0053395C" w:rsidP="002E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pugraphic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624" w:rsidRDefault="00840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624" w:rsidRDefault="00840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63" w:rsidRDefault="00E80863" w:rsidP="00643654">
    <w:pPr>
      <w:pStyle w:val="Footer"/>
    </w:pPr>
    <w:r>
      <w:t>California Department of Public Health</w:t>
    </w:r>
  </w:p>
  <w:p w:rsidR="00F41662" w:rsidRDefault="00840624" w:rsidP="00643654">
    <w:pPr>
      <w:pStyle w:val="Footer"/>
    </w:pPr>
    <w:r>
      <w:t>Version 1.1</w:t>
    </w:r>
  </w:p>
  <w:p w:rsidR="00E80863" w:rsidRPr="00643654" w:rsidRDefault="00F41662" w:rsidP="00643654">
    <w:pPr>
      <w:pStyle w:val="Footer"/>
    </w:pPr>
    <w:r>
      <w:t>May</w:t>
    </w:r>
    <w:r w:rsidR="00E80863">
      <w:t xml:space="preserve">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018772"/>
      <w:docPartObj>
        <w:docPartGallery w:val="Page Numbers (Bottom of Page)"/>
        <w:docPartUnique/>
      </w:docPartObj>
    </w:sdtPr>
    <w:sdtEndPr>
      <w:rPr>
        <w:noProof/>
      </w:rPr>
    </w:sdtEndPr>
    <w:sdtContent>
      <w:p w:rsidR="00E80863" w:rsidRDefault="00E80863">
        <w:pPr>
          <w:pStyle w:val="Footer"/>
          <w:jc w:val="center"/>
        </w:pPr>
        <w:r>
          <w:fldChar w:fldCharType="begin"/>
        </w:r>
        <w:r>
          <w:instrText xml:space="preserve"> PAGE   \* MERGEFORMAT </w:instrText>
        </w:r>
        <w:r>
          <w:fldChar w:fldCharType="separate"/>
        </w:r>
        <w:r w:rsidR="00EE1E25">
          <w:rPr>
            <w:noProof/>
          </w:rPr>
          <w:t>1</w:t>
        </w:r>
        <w:r>
          <w:rPr>
            <w:noProof/>
          </w:rPr>
          <w:fldChar w:fldCharType="end"/>
        </w:r>
      </w:p>
    </w:sdtContent>
  </w:sdt>
  <w:p w:rsidR="00E80863" w:rsidRDefault="00E808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270875"/>
      <w:docPartObj>
        <w:docPartGallery w:val="Page Numbers (Bottom of Page)"/>
        <w:docPartUnique/>
      </w:docPartObj>
    </w:sdtPr>
    <w:sdtEndPr>
      <w:rPr>
        <w:noProof/>
      </w:rPr>
    </w:sdtEndPr>
    <w:sdtContent>
      <w:p w:rsidR="00E80863" w:rsidRDefault="00E80863">
        <w:pPr>
          <w:pStyle w:val="Footer"/>
          <w:jc w:val="center"/>
        </w:pPr>
        <w:r>
          <w:fldChar w:fldCharType="begin"/>
        </w:r>
        <w:r>
          <w:instrText xml:space="preserve"> PAGE   \* MERGEFORMAT </w:instrText>
        </w:r>
        <w:r>
          <w:fldChar w:fldCharType="separate"/>
        </w:r>
        <w:r w:rsidR="00EE1E25">
          <w:rPr>
            <w:noProof/>
          </w:rPr>
          <w:t>6</w:t>
        </w:r>
        <w:r>
          <w:rPr>
            <w:noProof/>
          </w:rPr>
          <w:fldChar w:fldCharType="end"/>
        </w:r>
      </w:p>
    </w:sdtContent>
  </w:sdt>
  <w:p w:rsidR="00E80863" w:rsidRDefault="00E808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99954"/>
      <w:docPartObj>
        <w:docPartGallery w:val="Page Numbers (Bottom of Page)"/>
        <w:docPartUnique/>
      </w:docPartObj>
    </w:sdtPr>
    <w:sdtEndPr>
      <w:rPr>
        <w:noProof/>
      </w:rPr>
    </w:sdtEndPr>
    <w:sdtContent>
      <w:p w:rsidR="00E80863" w:rsidRDefault="00E80863">
        <w:pPr>
          <w:pStyle w:val="Footer"/>
          <w:jc w:val="center"/>
        </w:pPr>
        <w:r>
          <w:fldChar w:fldCharType="begin"/>
        </w:r>
        <w:r>
          <w:instrText xml:space="preserve"> PAGE   \* MERGEFORMAT </w:instrText>
        </w:r>
        <w:r>
          <w:fldChar w:fldCharType="separate"/>
        </w:r>
        <w:r w:rsidR="00EE1E25">
          <w:rPr>
            <w:noProof/>
          </w:rPr>
          <w:t>7</w:t>
        </w:r>
        <w:r>
          <w:rPr>
            <w:noProof/>
          </w:rPr>
          <w:fldChar w:fldCharType="end"/>
        </w:r>
      </w:p>
    </w:sdtContent>
  </w:sdt>
  <w:p w:rsidR="00E80863" w:rsidRPr="00643654" w:rsidRDefault="00E80863" w:rsidP="0064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95C" w:rsidRDefault="0053395C" w:rsidP="002E59BC">
      <w:pPr>
        <w:spacing w:after="0" w:line="240" w:lineRule="auto"/>
      </w:pPr>
      <w:r>
        <w:separator/>
      </w:r>
    </w:p>
  </w:footnote>
  <w:footnote w:type="continuationSeparator" w:id="0">
    <w:p w:rsidR="0053395C" w:rsidRDefault="0053395C" w:rsidP="002E5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624" w:rsidRDefault="00840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63" w:rsidRDefault="00E80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63" w:rsidRPr="00D70670" w:rsidRDefault="00E80863" w:rsidP="00D70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E2F01"/>
    <w:multiLevelType w:val="hybridMultilevel"/>
    <w:tmpl w:val="072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D104C"/>
    <w:multiLevelType w:val="hybridMultilevel"/>
    <w:tmpl w:val="4D0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7296A"/>
    <w:multiLevelType w:val="hybridMultilevel"/>
    <w:tmpl w:val="01A6BCF8"/>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3" w15:restartNumberingAfterBreak="0">
    <w:nsid w:val="3B1727F9"/>
    <w:multiLevelType w:val="hybridMultilevel"/>
    <w:tmpl w:val="6D0E3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E7180"/>
    <w:multiLevelType w:val="hybridMultilevel"/>
    <w:tmpl w:val="680E67A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1A6D77"/>
    <w:multiLevelType w:val="multilevel"/>
    <w:tmpl w:val="0CCA20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72A919F1"/>
    <w:multiLevelType w:val="hybridMultilevel"/>
    <w:tmpl w:val="4600015A"/>
    <w:lvl w:ilvl="0" w:tplc="EECE17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112F9"/>
    <w:multiLevelType w:val="hybridMultilevel"/>
    <w:tmpl w:val="680E67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7"/>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t7K0WPu6IHyHBLUensLWJDz0+4PPz8ONsprjTpU4EHzdGFmsjq+pWWXpPZ8gvEj04lLtK8OL589jZ+spkvouQ==" w:salt="jcmaamO61SV2dTnLhOAT7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D8"/>
    <w:rsid w:val="00036B37"/>
    <w:rsid w:val="00055FD0"/>
    <w:rsid w:val="00070885"/>
    <w:rsid w:val="000B0E30"/>
    <w:rsid w:val="000D08D9"/>
    <w:rsid w:val="000D34FF"/>
    <w:rsid w:val="000D63BE"/>
    <w:rsid w:val="000E491D"/>
    <w:rsid w:val="00176BAB"/>
    <w:rsid w:val="001845AD"/>
    <w:rsid w:val="001A18A8"/>
    <w:rsid w:val="001A6F90"/>
    <w:rsid w:val="001D095B"/>
    <w:rsid w:val="001E45FC"/>
    <w:rsid w:val="001E6691"/>
    <w:rsid w:val="001F323B"/>
    <w:rsid w:val="00216235"/>
    <w:rsid w:val="002426DC"/>
    <w:rsid w:val="00243D08"/>
    <w:rsid w:val="002500C7"/>
    <w:rsid w:val="0027240E"/>
    <w:rsid w:val="00292EFA"/>
    <w:rsid w:val="002A21C8"/>
    <w:rsid w:val="002C3F6F"/>
    <w:rsid w:val="002D0F39"/>
    <w:rsid w:val="002E59BC"/>
    <w:rsid w:val="00327B93"/>
    <w:rsid w:val="00335204"/>
    <w:rsid w:val="0035499A"/>
    <w:rsid w:val="00354F20"/>
    <w:rsid w:val="00364372"/>
    <w:rsid w:val="0037009C"/>
    <w:rsid w:val="003B7631"/>
    <w:rsid w:val="003C0273"/>
    <w:rsid w:val="003E0D4C"/>
    <w:rsid w:val="0045460F"/>
    <w:rsid w:val="004619BE"/>
    <w:rsid w:val="004733EE"/>
    <w:rsid w:val="0048596A"/>
    <w:rsid w:val="00492405"/>
    <w:rsid w:val="004B35B8"/>
    <w:rsid w:val="004E0B71"/>
    <w:rsid w:val="004E5B98"/>
    <w:rsid w:val="004F5CBC"/>
    <w:rsid w:val="004F61F0"/>
    <w:rsid w:val="00512F93"/>
    <w:rsid w:val="005130D4"/>
    <w:rsid w:val="00517FB9"/>
    <w:rsid w:val="0053395C"/>
    <w:rsid w:val="0054121C"/>
    <w:rsid w:val="00552C6E"/>
    <w:rsid w:val="00571DAC"/>
    <w:rsid w:val="00575FBE"/>
    <w:rsid w:val="005A75FE"/>
    <w:rsid w:val="005D308E"/>
    <w:rsid w:val="006008BD"/>
    <w:rsid w:val="006159F9"/>
    <w:rsid w:val="00626DDA"/>
    <w:rsid w:val="006364AC"/>
    <w:rsid w:val="00643654"/>
    <w:rsid w:val="00654019"/>
    <w:rsid w:val="00660F55"/>
    <w:rsid w:val="00670039"/>
    <w:rsid w:val="006850D8"/>
    <w:rsid w:val="006859F9"/>
    <w:rsid w:val="00693807"/>
    <w:rsid w:val="006D7D23"/>
    <w:rsid w:val="006E258F"/>
    <w:rsid w:val="006F3291"/>
    <w:rsid w:val="007051A4"/>
    <w:rsid w:val="00706102"/>
    <w:rsid w:val="007233D6"/>
    <w:rsid w:val="007249A4"/>
    <w:rsid w:val="0073682D"/>
    <w:rsid w:val="00760CFC"/>
    <w:rsid w:val="007A1BC5"/>
    <w:rsid w:val="007B1108"/>
    <w:rsid w:val="007D7F23"/>
    <w:rsid w:val="007E0ABE"/>
    <w:rsid w:val="007F1F02"/>
    <w:rsid w:val="00811F7F"/>
    <w:rsid w:val="00817262"/>
    <w:rsid w:val="00826B70"/>
    <w:rsid w:val="0083712B"/>
    <w:rsid w:val="00840624"/>
    <w:rsid w:val="00845C56"/>
    <w:rsid w:val="00846F15"/>
    <w:rsid w:val="00855493"/>
    <w:rsid w:val="00864D16"/>
    <w:rsid w:val="008667CB"/>
    <w:rsid w:val="00871D31"/>
    <w:rsid w:val="00880043"/>
    <w:rsid w:val="0089732F"/>
    <w:rsid w:val="008E2975"/>
    <w:rsid w:val="008E30EF"/>
    <w:rsid w:val="009025C7"/>
    <w:rsid w:val="00931487"/>
    <w:rsid w:val="00956AAB"/>
    <w:rsid w:val="009708B3"/>
    <w:rsid w:val="00971AFB"/>
    <w:rsid w:val="009A6420"/>
    <w:rsid w:val="009B6965"/>
    <w:rsid w:val="009D5F7B"/>
    <w:rsid w:val="009E0D82"/>
    <w:rsid w:val="00A03D56"/>
    <w:rsid w:val="00A157B9"/>
    <w:rsid w:val="00A424DE"/>
    <w:rsid w:val="00A53E85"/>
    <w:rsid w:val="00A70CCF"/>
    <w:rsid w:val="00AA5814"/>
    <w:rsid w:val="00AC7037"/>
    <w:rsid w:val="00AE5C7D"/>
    <w:rsid w:val="00AF0631"/>
    <w:rsid w:val="00B1426F"/>
    <w:rsid w:val="00B34042"/>
    <w:rsid w:val="00B43812"/>
    <w:rsid w:val="00B53792"/>
    <w:rsid w:val="00B54EC3"/>
    <w:rsid w:val="00B56D29"/>
    <w:rsid w:val="00B701D9"/>
    <w:rsid w:val="00B73DE4"/>
    <w:rsid w:val="00BC5E1A"/>
    <w:rsid w:val="00BD53DA"/>
    <w:rsid w:val="00C15AAB"/>
    <w:rsid w:val="00C1608C"/>
    <w:rsid w:val="00C479AB"/>
    <w:rsid w:val="00C51A43"/>
    <w:rsid w:val="00C625DD"/>
    <w:rsid w:val="00C75D67"/>
    <w:rsid w:val="00CA1067"/>
    <w:rsid w:val="00CB5EB5"/>
    <w:rsid w:val="00CD4F1F"/>
    <w:rsid w:val="00CD7C11"/>
    <w:rsid w:val="00CF26A0"/>
    <w:rsid w:val="00CF3CF2"/>
    <w:rsid w:val="00D071D3"/>
    <w:rsid w:val="00D1627E"/>
    <w:rsid w:val="00D61370"/>
    <w:rsid w:val="00D70670"/>
    <w:rsid w:val="00D82819"/>
    <w:rsid w:val="00DA2709"/>
    <w:rsid w:val="00DA7EB5"/>
    <w:rsid w:val="00DB446F"/>
    <w:rsid w:val="00DC24A4"/>
    <w:rsid w:val="00DD3201"/>
    <w:rsid w:val="00DF7DCA"/>
    <w:rsid w:val="00E01813"/>
    <w:rsid w:val="00E07A75"/>
    <w:rsid w:val="00E30967"/>
    <w:rsid w:val="00E3432B"/>
    <w:rsid w:val="00E668B2"/>
    <w:rsid w:val="00E708F6"/>
    <w:rsid w:val="00E769E3"/>
    <w:rsid w:val="00E80863"/>
    <w:rsid w:val="00E8706A"/>
    <w:rsid w:val="00EE1E25"/>
    <w:rsid w:val="00EF4F47"/>
    <w:rsid w:val="00F22A6A"/>
    <w:rsid w:val="00F271AD"/>
    <w:rsid w:val="00F3752C"/>
    <w:rsid w:val="00F41662"/>
    <w:rsid w:val="00F558F4"/>
    <w:rsid w:val="00F80E1D"/>
    <w:rsid w:val="00F878CF"/>
    <w:rsid w:val="00FC04CC"/>
    <w:rsid w:val="00FC74BC"/>
    <w:rsid w:val="00FE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80D0C"/>
  <w15:docId w15:val="{7C25B088-00DF-4027-8003-DD9A9662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11EA"/>
    <w:pPr>
      <w:spacing w:after="200" w:line="276" w:lineRule="auto"/>
      <w:ind w:left="720"/>
      <w:contextualSpacing/>
    </w:pPr>
  </w:style>
  <w:style w:type="character" w:styleId="CommentReference">
    <w:name w:val="annotation reference"/>
    <w:basedOn w:val="DefaultParagraphFont"/>
    <w:uiPriority w:val="99"/>
    <w:semiHidden/>
    <w:unhideWhenUsed/>
    <w:rsid w:val="00FE11EA"/>
    <w:rPr>
      <w:sz w:val="16"/>
      <w:szCs w:val="16"/>
    </w:rPr>
  </w:style>
  <w:style w:type="paragraph" w:styleId="CommentText">
    <w:name w:val="annotation text"/>
    <w:basedOn w:val="Normal"/>
    <w:link w:val="CommentTextChar"/>
    <w:uiPriority w:val="99"/>
    <w:semiHidden/>
    <w:unhideWhenUsed/>
    <w:rsid w:val="00FE11E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E11EA"/>
    <w:rPr>
      <w:sz w:val="20"/>
      <w:szCs w:val="20"/>
    </w:rPr>
  </w:style>
  <w:style w:type="paragraph" w:styleId="BalloonText">
    <w:name w:val="Balloon Text"/>
    <w:basedOn w:val="Normal"/>
    <w:link w:val="BalloonTextChar"/>
    <w:uiPriority w:val="99"/>
    <w:semiHidden/>
    <w:unhideWhenUsed/>
    <w:rsid w:val="00FE1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1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11EA"/>
    <w:pPr>
      <w:spacing w:after="160"/>
    </w:pPr>
    <w:rPr>
      <w:b/>
      <w:bCs/>
    </w:rPr>
  </w:style>
  <w:style w:type="character" w:customStyle="1" w:styleId="CommentSubjectChar">
    <w:name w:val="Comment Subject Char"/>
    <w:basedOn w:val="CommentTextChar"/>
    <w:link w:val="CommentSubject"/>
    <w:uiPriority w:val="99"/>
    <w:semiHidden/>
    <w:rsid w:val="00FE11EA"/>
    <w:rPr>
      <w:b/>
      <w:bCs/>
      <w:sz w:val="20"/>
      <w:szCs w:val="20"/>
    </w:rPr>
  </w:style>
  <w:style w:type="table" w:styleId="TableGrid">
    <w:name w:val="Table Grid"/>
    <w:basedOn w:val="TableNormal"/>
    <w:uiPriority w:val="59"/>
    <w:rsid w:val="0035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40E"/>
    <w:rPr>
      <w:color w:val="0563C1" w:themeColor="hyperlink"/>
      <w:u w:val="single"/>
    </w:rPr>
  </w:style>
  <w:style w:type="character" w:styleId="FollowedHyperlink">
    <w:name w:val="FollowedHyperlink"/>
    <w:basedOn w:val="DefaultParagraphFont"/>
    <w:uiPriority w:val="99"/>
    <w:semiHidden/>
    <w:unhideWhenUsed/>
    <w:rsid w:val="005A75FE"/>
    <w:rPr>
      <w:color w:val="954F72" w:themeColor="followedHyperlink"/>
      <w:u w:val="single"/>
    </w:rPr>
  </w:style>
  <w:style w:type="paragraph" w:customStyle="1" w:styleId="Default">
    <w:name w:val="Default"/>
    <w:rsid w:val="00E01813"/>
    <w:pPr>
      <w:autoSpaceDE w:val="0"/>
      <w:autoSpaceDN w:val="0"/>
      <w:adjustRightInd w:val="0"/>
      <w:spacing w:after="0" w:line="240" w:lineRule="auto"/>
    </w:pPr>
    <w:rPr>
      <w:rFonts w:ascii="Compugraphic Times" w:hAnsi="Compugraphic Times" w:cs="Compugraphic Times"/>
      <w:color w:val="000000"/>
      <w:sz w:val="24"/>
      <w:szCs w:val="24"/>
    </w:rPr>
  </w:style>
  <w:style w:type="paragraph" w:styleId="Revision">
    <w:name w:val="Revision"/>
    <w:hidden/>
    <w:uiPriority w:val="99"/>
    <w:semiHidden/>
    <w:rsid w:val="00E01813"/>
    <w:pPr>
      <w:spacing w:after="0" w:line="240" w:lineRule="auto"/>
    </w:pPr>
  </w:style>
  <w:style w:type="paragraph" w:styleId="Header">
    <w:name w:val="header"/>
    <w:basedOn w:val="Normal"/>
    <w:link w:val="HeaderChar"/>
    <w:uiPriority w:val="99"/>
    <w:unhideWhenUsed/>
    <w:rsid w:val="002E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BC"/>
  </w:style>
  <w:style w:type="paragraph" w:styleId="Footer">
    <w:name w:val="footer"/>
    <w:basedOn w:val="Normal"/>
    <w:link w:val="FooterChar"/>
    <w:uiPriority w:val="99"/>
    <w:unhideWhenUsed/>
    <w:rsid w:val="002E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BC"/>
  </w:style>
  <w:style w:type="character" w:customStyle="1" w:styleId="UnresolvedMention1">
    <w:name w:val="Unresolved Mention1"/>
    <w:basedOn w:val="DefaultParagraphFont"/>
    <w:uiPriority w:val="99"/>
    <w:semiHidden/>
    <w:unhideWhenUsed/>
    <w:rsid w:val="001E45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0025">
      <w:bodyDiv w:val="1"/>
      <w:marLeft w:val="0"/>
      <w:marRight w:val="0"/>
      <w:marTop w:val="0"/>
      <w:marBottom w:val="0"/>
      <w:divBdr>
        <w:top w:val="none" w:sz="0" w:space="0" w:color="auto"/>
        <w:left w:val="none" w:sz="0" w:space="0" w:color="auto"/>
        <w:bottom w:val="none" w:sz="0" w:space="0" w:color="auto"/>
        <w:right w:val="none" w:sz="0" w:space="0" w:color="auto"/>
      </w:divBdr>
    </w:div>
    <w:div w:id="774401876">
      <w:bodyDiv w:val="1"/>
      <w:marLeft w:val="0"/>
      <w:marRight w:val="0"/>
      <w:marTop w:val="0"/>
      <w:marBottom w:val="0"/>
      <w:divBdr>
        <w:top w:val="none" w:sz="0" w:space="0" w:color="auto"/>
        <w:left w:val="none" w:sz="0" w:space="0" w:color="auto"/>
        <w:bottom w:val="none" w:sz="0" w:space="0" w:color="auto"/>
        <w:right w:val="none" w:sz="0" w:space="0" w:color="auto"/>
      </w:divBdr>
    </w:div>
    <w:div w:id="790586297">
      <w:bodyDiv w:val="1"/>
      <w:marLeft w:val="0"/>
      <w:marRight w:val="0"/>
      <w:marTop w:val="0"/>
      <w:marBottom w:val="0"/>
      <w:divBdr>
        <w:top w:val="none" w:sz="0" w:space="0" w:color="auto"/>
        <w:left w:val="none" w:sz="0" w:space="0" w:color="auto"/>
        <w:bottom w:val="none" w:sz="0" w:space="0" w:color="auto"/>
        <w:right w:val="none" w:sz="0" w:space="0" w:color="auto"/>
      </w:divBdr>
    </w:div>
    <w:div w:id="847863352">
      <w:bodyDiv w:val="1"/>
      <w:marLeft w:val="0"/>
      <w:marRight w:val="0"/>
      <w:marTop w:val="0"/>
      <w:marBottom w:val="0"/>
      <w:divBdr>
        <w:top w:val="none" w:sz="0" w:space="0" w:color="auto"/>
        <w:left w:val="none" w:sz="0" w:space="0" w:color="auto"/>
        <w:bottom w:val="none" w:sz="0" w:space="0" w:color="auto"/>
        <w:right w:val="none" w:sz="0" w:space="0" w:color="auto"/>
      </w:divBdr>
    </w:div>
    <w:div w:id="890769518">
      <w:bodyDiv w:val="1"/>
      <w:marLeft w:val="0"/>
      <w:marRight w:val="0"/>
      <w:marTop w:val="0"/>
      <w:marBottom w:val="0"/>
      <w:divBdr>
        <w:top w:val="none" w:sz="0" w:space="0" w:color="auto"/>
        <w:left w:val="none" w:sz="0" w:space="0" w:color="auto"/>
        <w:bottom w:val="none" w:sz="0" w:space="0" w:color="auto"/>
        <w:right w:val="none" w:sz="0" w:space="0" w:color="auto"/>
      </w:divBdr>
    </w:div>
    <w:div w:id="974137667">
      <w:bodyDiv w:val="1"/>
      <w:marLeft w:val="0"/>
      <w:marRight w:val="0"/>
      <w:marTop w:val="0"/>
      <w:marBottom w:val="0"/>
      <w:divBdr>
        <w:top w:val="none" w:sz="0" w:space="0" w:color="auto"/>
        <w:left w:val="none" w:sz="0" w:space="0" w:color="auto"/>
        <w:bottom w:val="none" w:sz="0" w:space="0" w:color="auto"/>
        <w:right w:val="none" w:sz="0" w:space="0" w:color="auto"/>
      </w:divBdr>
    </w:div>
    <w:div w:id="1159928896">
      <w:bodyDiv w:val="1"/>
      <w:marLeft w:val="0"/>
      <w:marRight w:val="0"/>
      <w:marTop w:val="0"/>
      <w:marBottom w:val="0"/>
      <w:divBdr>
        <w:top w:val="none" w:sz="0" w:space="0" w:color="auto"/>
        <w:left w:val="none" w:sz="0" w:space="0" w:color="auto"/>
        <w:bottom w:val="none" w:sz="0" w:space="0" w:color="auto"/>
        <w:right w:val="none" w:sz="0" w:space="0" w:color="auto"/>
      </w:divBdr>
    </w:div>
    <w:div w:id="2055959253">
      <w:bodyDiv w:val="1"/>
      <w:marLeft w:val="0"/>
      <w:marRight w:val="0"/>
      <w:marTop w:val="0"/>
      <w:marBottom w:val="0"/>
      <w:divBdr>
        <w:top w:val="none" w:sz="0" w:space="0" w:color="auto"/>
        <w:left w:val="none" w:sz="0" w:space="0" w:color="auto"/>
        <w:bottom w:val="none" w:sz="0" w:space="0" w:color="auto"/>
        <w:right w:val="none" w:sz="0" w:space="0" w:color="auto"/>
      </w:divBdr>
    </w:div>
    <w:div w:id="20837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PDRhelp@cdph.ca.go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Researchers/Statisticians</TermName>
          <TermId xmlns="http://schemas.microsoft.com/office/infopath/2007/PartnerControls">1fa682ba-87e4-4b69-9e7e-563bd0b9b893</TermId>
        </TermInfo>
      </Terms>
    </off2d280d04f435e8ad65f64297220d7>
    <TaxCatchAll xmlns="a48324c4-7d20-48d3-8188-32763737222b">
      <Value>134</Value>
      <Value>116</Value>
      <Value>250</Value>
      <Value>97</Value>
      <Value>124</Value>
      <Value>191</Value>
      <Value>121</Value>
      <Value>188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Diseases and Conditions</TermName>
          <TermId xmlns="http://schemas.microsoft.com/office/infopath/2007/PartnerControls">64f64741-db00-4834-9a3b-ec49c1f6bd16</TermId>
        </TermInfo>
        <TermInfo xmlns="http://schemas.microsoft.com/office/infopath/2007/PartnerControls">
          <TermName xmlns="http://schemas.microsoft.com/office/infopath/2007/PartnerControls">Regulatory and Enforcement</TermName>
          <TermId xmlns="http://schemas.microsoft.com/office/infopath/2007/PartnerControls">db5a4826-f55f-4c65-bec5-4b58061b05d6</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Chronic Disease and Injury Control</TermName>
          <TermId xmlns="http://schemas.microsoft.com/office/infopath/2007/PartnerControls">637b8225-1cd4-43f9-b0c6-6b6c39215dbc</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A71EB2627FEF534BA7F7F3DF97E34D56" ma:contentTypeVersion="4" ma:contentTypeDescription="Create a new document." ma:contentTypeScope="" ma:versionID="202e0f86722bf01f36f2f042962b3481">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150f40491db719666d07a4f118452e5"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CBB9F-F117-4229-B0CB-F574DDFF67C0}"/>
</file>

<file path=customXml/itemProps2.xml><?xml version="1.0" encoding="utf-8"?>
<ds:datastoreItem xmlns:ds="http://schemas.openxmlformats.org/officeDocument/2006/customXml" ds:itemID="{F4BB0CC9-F451-4AD1-B81D-D940DD4ABBB6}"/>
</file>

<file path=customXml/itemProps3.xml><?xml version="1.0" encoding="utf-8"?>
<ds:datastoreItem xmlns:ds="http://schemas.openxmlformats.org/officeDocument/2006/customXml" ds:itemID="{66C4FA73-3ED0-43B0-B680-616957F0AB6A}"/>
</file>

<file path=customXml/itemProps4.xml><?xml version="1.0" encoding="utf-8"?>
<ds:datastoreItem xmlns:ds="http://schemas.openxmlformats.org/officeDocument/2006/customXml" ds:itemID="{E81EA9D1-CCD0-4B86-8DE1-1BD15BC60FF3}"/>
</file>

<file path=docProps/app.xml><?xml version="1.0" encoding="utf-8"?>
<Properties xmlns="http://schemas.openxmlformats.org/officeDocument/2006/extended-properties" xmlns:vt="http://schemas.openxmlformats.org/officeDocument/2006/docPropsVTypes">
  <Template>Normal.dotm</Template>
  <TotalTime>3</TotalTime>
  <Pages>1</Pages>
  <Words>2071</Words>
  <Characters>11808</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CDPH</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CPDR Implementation Guide v1.1</dc:title>
  <dc:creator>Curtis, George (CDPH-CDIC)</dc:creator>
  <cp:lastModifiedBy>George E Curtis</cp:lastModifiedBy>
  <cp:revision>2</cp:revision>
  <cp:lastPrinted>2018-04-19T18:40:00Z</cp:lastPrinted>
  <dcterms:created xsi:type="dcterms:W3CDTF">2018-05-02T22:39:00Z</dcterms:created>
  <dcterms:modified xsi:type="dcterms:W3CDTF">2018-05-02T22:39:00Z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0x0101002CC577673628EB48993F371F1850BF7D00A71EB2627FEF534BA7F7F3DF97E34D56</vt:lpwstr>
  </property>
  <property fmtid="{D5CDD505-2E9C-101B-9397-08002B2CF9AE}" pid="3" name="Content Language">
    <vt:lpwstr>97;#English (United States)|25e340a5-d50c-48d7-adc0-a905fb7bff5c</vt:lpwstr>
  </property>
  <property fmtid="{D5CDD505-2E9C-101B-9397-08002B2CF9AE}" pid="4" name="Topic">
    <vt:lpwstr>116;#Diseases and Conditions|64f64741-db00-4834-9a3b-ec49c1f6bd16;#250;#Regulatory and Enforcement|db5a4826-f55f-4c65-bec5-4b58061b05d6</vt:lpwstr>
  </property>
  <property fmtid="{D5CDD505-2E9C-101B-9397-08002B2CF9AE}" pid="5" name="CDPH Audience">
    <vt:lpwstr>191;#Community Based Organization|36af281b-a546-4033-90fb-79469fe234da;#188;#Healthcare Provider|4763fce6-72e0-4e74-ae57-8e132d338101;#121;#Clinicians/Healthcare Providers|e31e14b8-e46e-494a-8300-1453b14ca9de;#124;#Researchers/Statisticians|1fa682ba-87e4-4b69-9e7e-563bd0b9b893</vt:lpwstr>
  </property>
  <property fmtid="{D5CDD505-2E9C-101B-9397-08002B2CF9AE}" pid="6" name="Program">
    <vt:lpwstr>134;#Chronic Disease and Injury Control|637b8225-1cd4-43f9-b0c6-6b6c39215dbc</vt:lpwstr>
  </property>
</Properties>
</file>